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302FD" w14:textId="0C366EFD"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57460F">
        <w:rPr>
          <w:rFonts w:ascii="Calibri" w:hAnsi="Calibri"/>
        </w:rPr>
        <w:t>ENG1</w:t>
      </w:r>
      <w:r w:rsidR="000745EE">
        <w:rPr>
          <w:rFonts w:ascii="Calibri" w:hAnsi="Calibri"/>
        </w:rPr>
        <w:t>6</w:t>
      </w:r>
      <w:r w:rsidRPr="007A395D">
        <w:rPr>
          <w:rFonts w:ascii="Calibri" w:hAnsi="Calibri"/>
        </w:rPr>
        <w:t>-</w:t>
      </w:r>
      <w:r w:rsidR="001950E2">
        <w:rPr>
          <w:rFonts w:ascii="Calibri" w:hAnsi="Calibri"/>
        </w:rPr>
        <w:t>3.1.3.3</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42C3CE20"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00DD203E">
        <w:rPr>
          <w:rFonts w:ascii="Calibri" w:hAnsi="Calibri"/>
        </w:rPr>
        <w:tab/>
      </w:r>
      <w:r w:rsidR="00DD203E">
        <w:rPr>
          <w:rFonts w:ascii="Calibri" w:hAnsi="Calibri"/>
        </w:rPr>
        <w:tab/>
      </w:r>
      <w:r w:rsidRPr="007A395D">
        <w:rPr>
          <w:rFonts w:ascii="Calibri" w:hAnsi="Calibri"/>
          <w:sz w:val="18"/>
          <w:szCs w:val="18"/>
        </w:rPr>
        <w:tab/>
      </w:r>
      <w:r w:rsidRPr="007A395D">
        <w:rPr>
          <w:rFonts w:ascii="Calibri" w:hAnsi="Calibri"/>
        </w:rPr>
        <w:tab/>
        <w:t>Purpose of paper:</w:t>
      </w:r>
    </w:p>
    <w:p w14:paraId="78786733" w14:textId="3B8AB965" w:rsidR="0080294B" w:rsidRPr="007A395D" w:rsidRDefault="0080294B" w:rsidP="00037DF4">
      <w:pPr>
        <w:pStyle w:val="BodyText"/>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00037DF4" w:rsidRPr="007A395D">
        <w:rPr>
          <w:rFonts w:ascii="Calibri" w:hAnsi="Calibri" w:cs="Arial"/>
        </w:rPr>
        <w:tab/>
      </w:r>
      <w:r w:rsidR="0091760D">
        <w:rPr>
          <w:rFonts w:ascii="Calibri" w:hAnsi="Calibri" w:cs="Arial"/>
        </w:rPr>
        <w:t>X</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DD203E">
        <w:rPr>
          <w:rFonts w:ascii="Calibri" w:hAnsi="Calibri" w:cs="Arial"/>
          <w:b/>
          <w:sz w:val="24"/>
          <w:szCs w:val="24"/>
        </w:rPr>
        <w:t>x</w:t>
      </w:r>
      <w:r w:rsidRPr="007A395D">
        <w:rPr>
          <w:rFonts w:ascii="Calibri" w:hAnsi="Calibri" w:cs="Arial"/>
          <w:sz w:val="24"/>
          <w:szCs w:val="24"/>
        </w:rPr>
        <w:t xml:space="preserve">  Input</w:t>
      </w:r>
    </w:p>
    <w:p w14:paraId="0BC79547" w14:textId="06A4F020" w:rsidR="0080294B" w:rsidRPr="007A395D" w:rsidRDefault="0080294B" w:rsidP="00037DF4">
      <w:pPr>
        <w:pStyle w:val="BodyText"/>
        <w:tabs>
          <w:tab w:val="left" w:pos="1843"/>
        </w:tabs>
        <w:rPr>
          <w:rFonts w:ascii="Calibri" w:hAnsi="Calibri"/>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ENAV</w:t>
      </w:r>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69F8CFE6"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1875B9">
        <w:rPr>
          <w:rFonts w:ascii="Calibri" w:hAnsi="Calibri"/>
        </w:rPr>
        <w:t>3.1</w:t>
      </w:r>
    </w:p>
    <w:p w14:paraId="1AB3E246" w14:textId="6BDE76DC"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Pr="007A395D">
        <w:rPr>
          <w:rFonts w:ascii="Calibri" w:hAnsi="Calibri"/>
        </w:rPr>
        <w:t>…………………………………</w:t>
      </w:r>
    </w:p>
    <w:p w14:paraId="01FC5420" w14:textId="451CB229" w:rsidR="00362CD9" w:rsidRPr="00F31C65" w:rsidRDefault="00362CD9" w:rsidP="00FE5674">
      <w:pPr>
        <w:pStyle w:val="BodyText"/>
        <w:tabs>
          <w:tab w:val="left" w:pos="2835"/>
        </w:tabs>
        <w:rPr>
          <w:rFonts w:ascii="Calibri" w:hAnsi="Calibri"/>
          <w:i/>
          <w:color w:val="FF0000"/>
          <w:lang w:val="es-ES"/>
        </w:rPr>
      </w:pPr>
      <w:r w:rsidRPr="008A4610">
        <w:rPr>
          <w:rFonts w:ascii="Calibri" w:hAnsi="Calibri"/>
          <w:lang w:val="es-ES"/>
        </w:rPr>
        <w:t>Author(s)</w:t>
      </w:r>
      <w:r w:rsidR="00FE5674" w:rsidRPr="008A4610">
        <w:rPr>
          <w:rFonts w:ascii="Calibri" w:hAnsi="Calibri"/>
          <w:lang w:val="es-ES"/>
        </w:rPr>
        <w:t xml:space="preserve"> / Submitter(s)</w:t>
      </w:r>
      <w:r w:rsidRPr="008A4610">
        <w:rPr>
          <w:rFonts w:ascii="Calibri" w:hAnsi="Calibri"/>
          <w:lang w:val="es-ES"/>
        </w:rPr>
        <w:tab/>
      </w:r>
      <w:r w:rsidR="0080294B" w:rsidRPr="008A4610">
        <w:rPr>
          <w:rFonts w:ascii="Calibri" w:hAnsi="Calibri"/>
          <w:lang w:val="es-ES"/>
        </w:rPr>
        <w:tab/>
      </w:r>
      <w:r w:rsidR="0080294B" w:rsidRPr="008A4610">
        <w:rPr>
          <w:rFonts w:ascii="Calibri" w:hAnsi="Calibri"/>
          <w:lang w:val="es-ES"/>
        </w:rPr>
        <w:tab/>
      </w:r>
      <w:r w:rsidR="008A4610" w:rsidRPr="008A4610">
        <w:rPr>
          <w:rFonts w:ascii="Calibri" w:hAnsi="Calibri"/>
          <w:lang w:val="es-ES"/>
        </w:rPr>
        <w:t>Ana Senado, Emilio Gonzalez, Maria Mota, Manuel Lope</w:t>
      </w:r>
      <w:r w:rsidR="008A4610">
        <w:rPr>
          <w:rFonts w:ascii="Calibri" w:hAnsi="Calibri"/>
          <w:lang w:val="es-ES"/>
        </w:rPr>
        <w:t>z (</w:t>
      </w:r>
      <w:r w:rsidR="00F31C65">
        <w:rPr>
          <w:rFonts w:ascii="Calibri" w:hAnsi="Calibri"/>
          <w:lang w:val="es-ES"/>
        </w:rPr>
        <w:t>EUSPA)</w:t>
      </w:r>
    </w:p>
    <w:p w14:paraId="60BCC120" w14:textId="77777777" w:rsidR="0080294B" w:rsidRPr="008A4610" w:rsidRDefault="0080294B" w:rsidP="00FE5674">
      <w:pPr>
        <w:pStyle w:val="BodyText"/>
        <w:tabs>
          <w:tab w:val="left" w:pos="2835"/>
        </w:tabs>
        <w:rPr>
          <w:rFonts w:ascii="Calibri" w:hAnsi="Calibri"/>
          <w:lang w:val="es-ES"/>
        </w:rPr>
      </w:pPr>
    </w:p>
    <w:p w14:paraId="4834080C" w14:textId="36F221DE" w:rsidR="00A446C9" w:rsidRPr="00605E43" w:rsidRDefault="007E6723" w:rsidP="00A446C9">
      <w:pPr>
        <w:pStyle w:val="Title"/>
        <w:rPr>
          <w:rFonts w:ascii="Calibri" w:hAnsi="Calibri"/>
          <w:color w:val="0070C0"/>
        </w:rPr>
      </w:pPr>
      <w:r>
        <w:rPr>
          <w:rFonts w:ascii="Calibri" w:hAnsi="Calibri"/>
          <w:color w:val="0070C0"/>
        </w:rPr>
        <w:t>Galileo Timing and Galileo Authentication Service</w:t>
      </w:r>
    </w:p>
    <w:p w14:paraId="0F258596" w14:textId="50FB6E37" w:rsidR="00A446C9" w:rsidRPr="00605E43" w:rsidRDefault="00A446C9" w:rsidP="00605E43">
      <w:pPr>
        <w:pStyle w:val="Heading1"/>
      </w:pPr>
      <w:r w:rsidRPr="00605E43">
        <w:t>Summary</w:t>
      </w:r>
    </w:p>
    <w:p w14:paraId="4C0F8C46" w14:textId="550D4747" w:rsidR="006629BF" w:rsidRDefault="0038043C" w:rsidP="00B56BDF">
      <w:pPr>
        <w:pStyle w:val="BodyText"/>
        <w:rPr>
          <w:rFonts w:ascii="Calibri" w:hAnsi="Calibri"/>
        </w:rPr>
      </w:pPr>
      <w:r>
        <w:rPr>
          <w:rFonts w:ascii="Calibri" w:hAnsi="Calibri"/>
        </w:rPr>
        <w:t xml:space="preserve">This input paper </w:t>
      </w:r>
      <w:r w:rsidR="00761875">
        <w:rPr>
          <w:rFonts w:ascii="Calibri" w:hAnsi="Calibri"/>
        </w:rPr>
        <w:t xml:space="preserve">addresses two Galileo main topics that can be relevant for the </w:t>
      </w:r>
      <w:r w:rsidR="006629BF">
        <w:rPr>
          <w:rFonts w:ascii="Calibri" w:hAnsi="Calibri"/>
        </w:rPr>
        <w:t xml:space="preserve">following </w:t>
      </w:r>
      <w:r w:rsidR="00C45953">
        <w:rPr>
          <w:rFonts w:ascii="Calibri" w:hAnsi="Calibri"/>
        </w:rPr>
        <w:t xml:space="preserve">IALA ENG </w:t>
      </w:r>
      <w:r w:rsidR="006629BF">
        <w:rPr>
          <w:rFonts w:ascii="Calibri" w:hAnsi="Calibri"/>
        </w:rPr>
        <w:t>documents:</w:t>
      </w:r>
    </w:p>
    <w:p w14:paraId="111803B7" w14:textId="1F5D85E1" w:rsidR="006629BF" w:rsidRDefault="006629BF" w:rsidP="006629BF">
      <w:pPr>
        <w:pStyle w:val="BodyText"/>
        <w:numPr>
          <w:ilvl w:val="0"/>
          <w:numId w:val="48"/>
        </w:numPr>
        <w:rPr>
          <w:rFonts w:ascii="Calibri" w:hAnsi="Calibri"/>
        </w:rPr>
      </w:pPr>
      <w:r w:rsidRPr="006629BF">
        <w:rPr>
          <w:rFonts w:ascii="Calibri" w:hAnsi="Calibri"/>
        </w:rPr>
        <w:t>Implementation of R-Mode on MF and VHF frequencies</w:t>
      </w:r>
    </w:p>
    <w:p w14:paraId="7B7625BA" w14:textId="2FD4E8B7" w:rsidR="006629BF" w:rsidRDefault="006629BF" w:rsidP="006629BF">
      <w:pPr>
        <w:pStyle w:val="BodyText"/>
        <w:numPr>
          <w:ilvl w:val="0"/>
          <w:numId w:val="48"/>
        </w:numPr>
        <w:rPr>
          <w:rFonts w:ascii="Calibri" w:hAnsi="Calibri"/>
        </w:rPr>
      </w:pPr>
      <w:r w:rsidRPr="006629BF">
        <w:rPr>
          <w:rFonts w:ascii="Calibri" w:hAnsi="Calibri"/>
        </w:rPr>
        <w:t>IALA_ENG_WG3_Guideline_on_Timing_and_Synchronisation_v0.2</w:t>
      </w:r>
    </w:p>
    <w:p w14:paraId="48502D68" w14:textId="383A5EA5" w:rsidR="00761875" w:rsidRDefault="00761875" w:rsidP="00B56BDF">
      <w:pPr>
        <w:pStyle w:val="BodyText"/>
        <w:rPr>
          <w:rFonts w:ascii="Calibri" w:hAnsi="Calibri"/>
        </w:rPr>
      </w:pPr>
      <w:r>
        <w:rPr>
          <w:rFonts w:ascii="Calibri" w:hAnsi="Calibri"/>
        </w:rPr>
        <w:t xml:space="preserve">On </w:t>
      </w:r>
      <w:r w:rsidR="006629BF">
        <w:rPr>
          <w:rFonts w:ascii="Calibri" w:hAnsi="Calibri"/>
        </w:rPr>
        <w:t xml:space="preserve">the first hand, </w:t>
      </w:r>
      <w:r>
        <w:rPr>
          <w:rFonts w:ascii="Calibri" w:hAnsi="Calibri"/>
        </w:rPr>
        <w:t xml:space="preserve">the </w:t>
      </w:r>
      <w:r w:rsidRPr="00451752">
        <w:rPr>
          <w:rFonts w:ascii="Calibri" w:hAnsi="Calibri"/>
          <w:b/>
        </w:rPr>
        <w:t>Galileo UTC Dissemination Accuracy</w:t>
      </w:r>
      <w:r>
        <w:rPr>
          <w:rFonts w:ascii="Calibri" w:hAnsi="Calibri"/>
        </w:rPr>
        <w:t xml:space="preserve"> is presented. Galileo defines a</w:t>
      </w:r>
      <w:r w:rsidR="006629BF">
        <w:rPr>
          <w:rFonts w:ascii="Calibri" w:hAnsi="Calibri"/>
        </w:rPr>
        <w:t xml:space="preserve"> Minimum Performance Level (MPL) for</w:t>
      </w:r>
      <w:r>
        <w:rPr>
          <w:rFonts w:ascii="Calibri" w:hAnsi="Calibri"/>
        </w:rPr>
        <w:t xml:space="preserve"> UTC Dissemination Accuracy </w:t>
      </w:r>
      <w:r w:rsidR="006629BF">
        <w:rPr>
          <w:rFonts w:ascii="Calibri" w:hAnsi="Calibri"/>
        </w:rPr>
        <w:t>of</w:t>
      </w:r>
      <w:r>
        <w:rPr>
          <w:rFonts w:ascii="Calibri" w:hAnsi="Calibri"/>
        </w:rPr>
        <w:t xml:space="preserve"> 30 ns</w:t>
      </w:r>
      <w:r w:rsidR="006629BF">
        <w:rPr>
          <w:rFonts w:ascii="Calibri" w:hAnsi="Calibri"/>
        </w:rPr>
        <w:t>. The</w:t>
      </w:r>
      <w:r>
        <w:rPr>
          <w:rFonts w:ascii="Calibri" w:hAnsi="Calibri"/>
        </w:rPr>
        <w:t xml:space="preserve"> present input</w:t>
      </w:r>
      <w:r w:rsidR="006629BF">
        <w:rPr>
          <w:rFonts w:ascii="Calibri" w:hAnsi="Calibri"/>
        </w:rPr>
        <w:t xml:space="preserve"> paper will show that the actual accuracy is far beyond the MPL, being</w:t>
      </w:r>
      <w:r w:rsidR="00451752">
        <w:rPr>
          <w:rFonts w:ascii="Calibri" w:hAnsi="Calibri"/>
        </w:rPr>
        <w:t xml:space="preserve"> around</w:t>
      </w:r>
      <w:r w:rsidR="006629BF">
        <w:rPr>
          <w:rFonts w:ascii="Calibri" w:hAnsi="Calibri"/>
        </w:rPr>
        <w:t xml:space="preserve"> 6ns.  This e</w:t>
      </w:r>
      <w:r>
        <w:rPr>
          <w:rFonts w:ascii="Calibri" w:hAnsi="Calibri"/>
        </w:rPr>
        <w:t xml:space="preserve">xcellent performance allows to use Galileo as an accurate source for timing synchronization. </w:t>
      </w:r>
    </w:p>
    <w:p w14:paraId="56CECB46" w14:textId="1A617A83" w:rsidR="006B576E" w:rsidRDefault="006B576E" w:rsidP="00B56BDF">
      <w:pPr>
        <w:pStyle w:val="BodyText"/>
        <w:rPr>
          <w:rFonts w:ascii="Calibri" w:hAnsi="Calibri"/>
        </w:rPr>
      </w:pPr>
      <w:r>
        <w:rPr>
          <w:rFonts w:ascii="Calibri" w:hAnsi="Calibri"/>
        </w:rPr>
        <w:t xml:space="preserve">On the other side, </w:t>
      </w:r>
      <w:r w:rsidRPr="00451752">
        <w:rPr>
          <w:rFonts w:ascii="Calibri" w:hAnsi="Calibri"/>
          <w:b/>
        </w:rPr>
        <w:t>Galileo Open Service Navigation Message Authentication (OSNMA)</w:t>
      </w:r>
      <w:r>
        <w:rPr>
          <w:rFonts w:ascii="Calibri" w:hAnsi="Calibri"/>
        </w:rPr>
        <w:t xml:space="preserve"> service is explained. This service authenticates Galileo navigation message and it allows users to assure that the Galileo message is received from original Galileo satellites and not from malicious source, </w:t>
      </w:r>
      <w:r w:rsidR="00F31C65">
        <w:rPr>
          <w:rFonts w:ascii="Calibri" w:hAnsi="Calibri"/>
        </w:rPr>
        <w:t xml:space="preserve">contributing to the resiliency of the </w:t>
      </w:r>
      <w:r>
        <w:rPr>
          <w:rFonts w:ascii="Calibri" w:hAnsi="Calibri"/>
        </w:rPr>
        <w:t>position</w:t>
      </w:r>
      <w:r w:rsidR="00F31C65">
        <w:rPr>
          <w:rFonts w:ascii="Calibri" w:hAnsi="Calibri"/>
        </w:rPr>
        <w:t xml:space="preserve"> computed</w:t>
      </w:r>
      <w:r>
        <w:rPr>
          <w:rFonts w:ascii="Calibri" w:hAnsi="Calibri"/>
        </w:rPr>
        <w:t xml:space="preserve">. This service can be analysed as an </w:t>
      </w:r>
      <w:r w:rsidR="00F31C65">
        <w:rPr>
          <w:rFonts w:ascii="Calibri" w:hAnsi="Calibri"/>
        </w:rPr>
        <w:t xml:space="preserve">complementary </w:t>
      </w:r>
      <w:r>
        <w:rPr>
          <w:rFonts w:ascii="Calibri" w:hAnsi="Calibri"/>
        </w:rPr>
        <w:t xml:space="preserve">source to be incorporated in the R-mode position solution, since </w:t>
      </w:r>
      <w:r w:rsidR="00F31C65">
        <w:rPr>
          <w:rFonts w:ascii="Calibri" w:hAnsi="Calibri"/>
        </w:rPr>
        <w:t xml:space="preserve">some </w:t>
      </w:r>
      <w:r>
        <w:rPr>
          <w:rFonts w:ascii="Calibri" w:hAnsi="Calibri"/>
        </w:rPr>
        <w:t xml:space="preserve">spoofing attacks can be </w:t>
      </w:r>
      <w:r w:rsidR="00F31C65">
        <w:rPr>
          <w:rFonts w:ascii="Calibri" w:hAnsi="Calibri"/>
        </w:rPr>
        <w:t xml:space="preserve">identified </w:t>
      </w:r>
      <w:r>
        <w:rPr>
          <w:rFonts w:ascii="Calibri" w:hAnsi="Calibri"/>
        </w:rPr>
        <w:t>by using Galileo OSNMA.</w:t>
      </w:r>
    </w:p>
    <w:p w14:paraId="53733F03" w14:textId="2316507C" w:rsidR="00A446C9" w:rsidRDefault="00A446C9" w:rsidP="00605E43">
      <w:pPr>
        <w:pStyle w:val="Heading1"/>
      </w:pPr>
      <w:r w:rsidRPr="007A395D">
        <w:t>Background</w:t>
      </w:r>
    </w:p>
    <w:p w14:paraId="3F57216D" w14:textId="32F54647" w:rsidR="00CC0F1D" w:rsidRDefault="00CC0F1D" w:rsidP="00CC0F1D">
      <w:pPr>
        <w:autoSpaceDE w:val="0"/>
        <w:autoSpaceDN w:val="0"/>
        <w:adjustRightInd w:val="0"/>
        <w:jc w:val="both"/>
        <w:rPr>
          <w:rFonts w:ascii="Calibri" w:hAnsi="Calibri"/>
        </w:rPr>
      </w:pPr>
      <w:r w:rsidRPr="00CC0F1D">
        <w:rPr>
          <w:rFonts w:ascii="Calibri" w:hAnsi="Calibri"/>
        </w:rPr>
        <w:t xml:space="preserve">Global Navigation Satellite Systems (GNSS) (today GPS, Galileo, GLONASS and BeiDou) have become the primary source of positioning, navigation and timing (PNT) for maritime operations. Furthermore GNSS-based positioning is used by many systems on vessels, like AIS (Automatic Identification System), ECDIS (Electronic Chart Display and Information System), ARPA (Automatic Radar Plotting Aid), </w:t>
      </w:r>
      <w:r w:rsidR="00F31C65">
        <w:rPr>
          <w:rFonts w:ascii="Calibri" w:hAnsi="Calibri"/>
        </w:rPr>
        <w:t xml:space="preserve">some </w:t>
      </w:r>
      <w:r w:rsidRPr="00CC0F1D">
        <w:rPr>
          <w:rFonts w:ascii="Calibri" w:hAnsi="Calibri"/>
        </w:rPr>
        <w:t>GMDSS</w:t>
      </w:r>
      <w:r w:rsidR="00F31C65">
        <w:rPr>
          <w:rFonts w:ascii="Calibri" w:hAnsi="Calibri"/>
        </w:rPr>
        <w:t xml:space="preserve"> related equipment</w:t>
      </w:r>
      <w:r w:rsidRPr="00CC0F1D">
        <w:rPr>
          <w:rFonts w:ascii="Calibri" w:hAnsi="Calibri"/>
        </w:rPr>
        <w:t xml:space="preserve"> (Global Maritime Distress and Safety System) and other navigation sensors. Safe navigation, the protection of the marine environment and the efficiency of access to ports are highly dependent on the availability, continuity, accuracy and integrity of GNSS based positioning</w:t>
      </w:r>
      <w:r w:rsidR="00F31C65">
        <w:rPr>
          <w:rFonts w:ascii="Calibri" w:hAnsi="Calibri"/>
        </w:rPr>
        <w:t xml:space="preserve"> and timing</w:t>
      </w:r>
      <w:r w:rsidRPr="00CC0F1D">
        <w:rPr>
          <w:rFonts w:ascii="Calibri" w:hAnsi="Calibri"/>
        </w:rPr>
        <w:t>.</w:t>
      </w:r>
    </w:p>
    <w:p w14:paraId="3F3B4DE3" w14:textId="77777777" w:rsidR="00CC0F1D" w:rsidRPr="00CC0F1D" w:rsidRDefault="00CC0F1D" w:rsidP="00CC0F1D">
      <w:pPr>
        <w:autoSpaceDE w:val="0"/>
        <w:autoSpaceDN w:val="0"/>
        <w:adjustRightInd w:val="0"/>
        <w:jc w:val="both"/>
        <w:rPr>
          <w:rFonts w:ascii="Calibri" w:hAnsi="Calibri"/>
        </w:rPr>
      </w:pPr>
    </w:p>
    <w:p w14:paraId="0CAA25D9" w14:textId="28A5C38A" w:rsidR="00CC0F1D" w:rsidRPr="00CC0F1D" w:rsidRDefault="00CC0F1D" w:rsidP="00CC0F1D">
      <w:pPr>
        <w:pStyle w:val="BodyText"/>
        <w:rPr>
          <w:rFonts w:ascii="Calibri" w:hAnsi="Calibri"/>
        </w:rPr>
      </w:pPr>
      <w:r w:rsidRPr="00CC0F1D">
        <w:rPr>
          <w:rFonts w:ascii="Calibri" w:hAnsi="Calibri"/>
        </w:rPr>
        <w:t>However, it is well known that low power satellite-based systems are vulnerable to jamming and natural interference [1]. When GNSS is corrupted or unavailable, PNT information are seriously affected resulting in</w:t>
      </w:r>
      <w:r w:rsidRPr="003F12FB">
        <w:rPr>
          <w:rFonts w:ascii="Calibri" w:hAnsi="Calibri"/>
          <w:color w:val="000000"/>
        </w:rPr>
        <w:t xml:space="preserve"> </w:t>
      </w:r>
      <w:r w:rsidRPr="00CC0F1D">
        <w:rPr>
          <w:rFonts w:ascii="Calibri" w:hAnsi="Calibri"/>
        </w:rPr>
        <w:t xml:space="preserve">an increase in risks to the safety of navigation. Unavailable PNT data, even for short periods, results in numerous alerts raised by multiple systems on the bridge systems. Hazardously misleading information may </w:t>
      </w:r>
      <w:r w:rsidRPr="00CC0F1D">
        <w:rPr>
          <w:rFonts w:ascii="Calibri" w:hAnsi="Calibri"/>
        </w:rPr>
        <w:lastRenderedPageBreak/>
        <w:t xml:space="preserve">occur in position errors that are large enough to have a severe impact on navigation safety but may be small enough to remain undetected and raise no alerts. </w:t>
      </w:r>
    </w:p>
    <w:p w14:paraId="599BBA6F" w14:textId="77777777" w:rsidR="00CC0F1D" w:rsidRPr="00CC0F1D" w:rsidRDefault="00CC0F1D" w:rsidP="00CC0F1D">
      <w:pPr>
        <w:pStyle w:val="BodyText"/>
        <w:rPr>
          <w:rFonts w:ascii="Calibri" w:hAnsi="Calibri"/>
        </w:rPr>
      </w:pPr>
      <w:r w:rsidRPr="00CC0F1D">
        <w:rPr>
          <w:rFonts w:ascii="Calibri" w:hAnsi="Calibri"/>
        </w:rPr>
        <w:t>Within the overall e-Navigation strategy the IMO has identified the user need on improved reliability, resilience and integrity of bridge equipment and navigation information as one of the five prioritized e-Navigation solutions.</w:t>
      </w:r>
    </w:p>
    <w:p w14:paraId="6DDC7D88" w14:textId="7A4B57B3" w:rsidR="00CC0F1D" w:rsidRPr="00CC0F1D" w:rsidRDefault="00CC0F1D" w:rsidP="00CC0F1D">
      <w:pPr>
        <w:pStyle w:val="BodyText"/>
        <w:rPr>
          <w:rFonts w:ascii="Calibri" w:hAnsi="Calibri"/>
        </w:rPr>
      </w:pPr>
      <w:r w:rsidRPr="00CC0F1D">
        <w:rPr>
          <w:rFonts w:ascii="Calibri" w:hAnsi="Calibri"/>
        </w:rPr>
        <w:t xml:space="preserve">A variety of technological solutions provide the potential to serve this backup requirement; for example, within the radio frequency (RF) domain “Signals of OPportunity” (SoOP) can deliver possible solutions. This term refers to the opportunistic use of RF signals, typically communications signals, which already exist in the geographical area of the user receiver. While these signals are not primarily intended for positioning, a SoOP navigation receiver attempts to exploit them as such. Specifically, if each SoOP can provide a (pseudo-)range to the receiver from a known location, a trilateration position solution is possible. The use of such ranging signals from existing DGNSS maritime radio infrastructure is known as “R-Mode” (ranging mode). Even if it </w:t>
      </w:r>
      <w:r w:rsidR="006E290E">
        <w:rPr>
          <w:rFonts w:ascii="Calibri" w:hAnsi="Calibri"/>
        </w:rPr>
        <w:t>were</w:t>
      </w:r>
      <w:r w:rsidR="006E290E" w:rsidRPr="00CC0F1D">
        <w:rPr>
          <w:rFonts w:ascii="Calibri" w:hAnsi="Calibri"/>
        </w:rPr>
        <w:t xml:space="preserve"> </w:t>
      </w:r>
      <w:r w:rsidRPr="00CC0F1D">
        <w:rPr>
          <w:rFonts w:ascii="Calibri" w:hAnsi="Calibri"/>
        </w:rPr>
        <w:t>impossible to derive a complete position solution from R-Mode (e.g. due to insufficient, less than three signals being present), the available pseudorange information combined with measurements from existing positioning systems can</w:t>
      </w:r>
      <w:r w:rsidR="006E290E">
        <w:rPr>
          <w:rFonts w:ascii="Calibri" w:hAnsi="Calibri"/>
        </w:rPr>
        <w:t xml:space="preserve"> be combined to</w:t>
      </w:r>
      <w:r w:rsidRPr="00CC0F1D">
        <w:rPr>
          <w:rFonts w:ascii="Calibri" w:hAnsi="Calibri"/>
        </w:rPr>
        <w:t xml:space="preserve"> provide a position solution.</w:t>
      </w:r>
    </w:p>
    <w:p w14:paraId="36E6A1DF" w14:textId="77777777" w:rsidR="00CC0F1D" w:rsidRPr="00CE4E5F" w:rsidRDefault="00CC0F1D" w:rsidP="00451752">
      <w:pPr>
        <w:autoSpaceDE w:val="0"/>
        <w:autoSpaceDN w:val="0"/>
        <w:adjustRightInd w:val="0"/>
        <w:jc w:val="both"/>
        <w:rPr>
          <w:rFonts w:ascii="Calibri" w:hAnsi="Calibri"/>
          <w:color w:val="000000"/>
        </w:rPr>
      </w:pPr>
      <w:r w:rsidRPr="00CE4E5F">
        <w:rPr>
          <w:rFonts w:ascii="Calibri" w:hAnsi="Calibri"/>
          <w:color w:val="000000"/>
        </w:rPr>
        <w:t>The IMO opened up the usage of multiple position fixing systems by the inauguration of the Multisystem - Radionavigation Receiver Performance Standard (MSC.401(95)) [4] and the associated GUIDELINES FOR SHIPBORNE POSITION, NAVIGATION AND TIMING (PNT) DATA PROCESSING (MSC.1/circ.1575), [5].</w:t>
      </w:r>
    </w:p>
    <w:p w14:paraId="48DCA89A" w14:textId="4C246E01" w:rsidR="00CC0F1D" w:rsidRDefault="00CC0F1D" w:rsidP="00451752">
      <w:pPr>
        <w:autoSpaceDE w:val="0"/>
        <w:autoSpaceDN w:val="0"/>
        <w:adjustRightInd w:val="0"/>
        <w:jc w:val="both"/>
        <w:rPr>
          <w:rFonts w:ascii="Calibri" w:hAnsi="Calibri"/>
          <w:color w:val="000000"/>
        </w:rPr>
      </w:pPr>
      <w:r w:rsidRPr="00CE4E5F">
        <w:rPr>
          <w:rFonts w:ascii="Calibri" w:hAnsi="Calibri"/>
          <w:color w:val="000000"/>
        </w:rPr>
        <w:t>For the first time this new performance standard allows the combination of any recognised IMO World-Wide Radionavigation System (WWRNS) with terrestrial position fixing systems as well as wide area augmentation systems. The rising numbers of available ranging signals from any source benefit the determination of position accuracy and associated integrity.</w:t>
      </w:r>
    </w:p>
    <w:p w14:paraId="2C9CEDF6" w14:textId="77777777" w:rsidR="00451752" w:rsidRDefault="00451752" w:rsidP="00451752">
      <w:pPr>
        <w:autoSpaceDE w:val="0"/>
        <w:autoSpaceDN w:val="0"/>
        <w:adjustRightInd w:val="0"/>
        <w:jc w:val="both"/>
        <w:rPr>
          <w:rFonts w:ascii="Calibri" w:hAnsi="Calibri"/>
          <w:color w:val="000000"/>
        </w:rPr>
      </w:pPr>
    </w:p>
    <w:p w14:paraId="50386655" w14:textId="6127C086" w:rsidR="00824127" w:rsidRDefault="00824127" w:rsidP="00824127">
      <w:pPr>
        <w:pStyle w:val="BodyText"/>
        <w:rPr>
          <w:rFonts w:asciiTheme="minorHAnsi" w:hAnsiTheme="minorHAnsi" w:cstheme="minorHAnsi"/>
          <w:lang w:eastAsia="de-DE"/>
        </w:rPr>
      </w:pPr>
      <w:r w:rsidRPr="00824127">
        <w:rPr>
          <w:rFonts w:asciiTheme="minorHAnsi" w:hAnsiTheme="minorHAnsi" w:cstheme="minorHAnsi"/>
          <w:lang w:eastAsia="de-DE"/>
        </w:rPr>
        <w:t xml:space="preserve">The time accuracy at R-Mode stations is fundamental for accurate distance estimation between a user receiver and an R-Mode transmitter station. An error of 10 ns equates to 3 m distance estimation error. To enable a potential R-Mode accuracy of better than 10 m </w:t>
      </w:r>
      <w:r w:rsidRPr="00824127">
        <w:rPr>
          <w:rFonts w:asciiTheme="minorHAnsi" w:hAnsiTheme="minorHAnsi" w:cstheme="minorHAnsi"/>
          <w:b/>
          <w:lang w:eastAsia="de-DE"/>
        </w:rPr>
        <w:t xml:space="preserve">the synchronisation error should not exceed a 10 ns deviation to UTC </w:t>
      </w:r>
      <w:r w:rsidRPr="00824127">
        <w:rPr>
          <w:rFonts w:asciiTheme="minorHAnsi" w:hAnsiTheme="minorHAnsi" w:cstheme="minorHAnsi"/>
          <w:lang w:eastAsia="de-DE"/>
        </w:rPr>
        <w:t>(or the R-Mode time reference frame). There are different options for the type of station clock and the way of time synchronisation with UTC. At the end each maritime administration has to consider which solution fulfils their requirements. A cost-benefit analysis is needed for this purpose.</w:t>
      </w:r>
    </w:p>
    <w:p w14:paraId="73326398" w14:textId="4F2C1AAA" w:rsidR="00824127" w:rsidRPr="00824127" w:rsidRDefault="00824127" w:rsidP="00824127">
      <w:pPr>
        <w:pStyle w:val="BodyText"/>
        <w:rPr>
          <w:rFonts w:asciiTheme="minorHAnsi" w:hAnsiTheme="minorHAnsi" w:cstheme="minorHAnsi"/>
          <w:lang w:eastAsia="de-DE"/>
        </w:rPr>
      </w:pPr>
      <w:r>
        <w:rPr>
          <w:rFonts w:asciiTheme="minorHAnsi" w:hAnsiTheme="minorHAnsi" w:cstheme="minorHAnsi"/>
          <w:lang w:eastAsia="de-DE"/>
        </w:rPr>
        <w:t>On this sense Galileo offers a free and cost-effective solution to obtain a</w:t>
      </w:r>
      <w:r w:rsidR="006E290E">
        <w:rPr>
          <w:rFonts w:asciiTheme="minorHAnsi" w:hAnsiTheme="minorHAnsi" w:cstheme="minorHAnsi"/>
          <w:lang w:eastAsia="de-DE"/>
        </w:rPr>
        <w:t>n</w:t>
      </w:r>
      <w:r>
        <w:rPr>
          <w:rFonts w:asciiTheme="minorHAnsi" w:hAnsiTheme="minorHAnsi" w:cstheme="minorHAnsi"/>
          <w:lang w:eastAsia="de-DE"/>
        </w:rPr>
        <w:t xml:space="preserve"> </w:t>
      </w:r>
      <w:r w:rsidRPr="00824127">
        <w:rPr>
          <w:rFonts w:asciiTheme="minorHAnsi" w:hAnsiTheme="minorHAnsi" w:cstheme="minorHAnsi"/>
          <w:b/>
          <w:lang w:eastAsia="de-DE"/>
        </w:rPr>
        <w:t>excellent timing performance</w:t>
      </w:r>
      <w:r>
        <w:rPr>
          <w:rFonts w:asciiTheme="minorHAnsi" w:hAnsiTheme="minorHAnsi" w:cstheme="minorHAnsi"/>
          <w:lang w:eastAsia="de-DE"/>
        </w:rPr>
        <w:t xml:space="preserve"> below the 10ns. In addition, Galileo will offer an </w:t>
      </w:r>
      <w:r w:rsidRPr="00824127">
        <w:rPr>
          <w:rFonts w:asciiTheme="minorHAnsi" w:hAnsiTheme="minorHAnsi" w:cstheme="minorHAnsi"/>
          <w:b/>
          <w:lang w:eastAsia="de-DE"/>
        </w:rPr>
        <w:t>authentication service</w:t>
      </w:r>
      <w:r>
        <w:rPr>
          <w:rFonts w:asciiTheme="minorHAnsi" w:hAnsiTheme="minorHAnsi" w:cstheme="minorHAnsi"/>
          <w:lang w:eastAsia="de-DE"/>
        </w:rPr>
        <w:t>, that will assure that the Galileo message is received from Galileo satellite and not from any other malicious source.</w:t>
      </w:r>
    </w:p>
    <w:p w14:paraId="041E9135" w14:textId="77777777" w:rsidR="00A446C9" w:rsidRPr="007A395D" w:rsidRDefault="00A446C9" w:rsidP="00605E43">
      <w:pPr>
        <w:pStyle w:val="Heading1"/>
      </w:pPr>
      <w:r w:rsidRPr="007A395D">
        <w:t>Discussion</w:t>
      </w:r>
    </w:p>
    <w:p w14:paraId="1A65DCAD" w14:textId="77777777" w:rsidR="00786502" w:rsidRDefault="00824127" w:rsidP="00A446C9">
      <w:pPr>
        <w:pStyle w:val="BodyText"/>
        <w:rPr>
          <w:rFonts w:ascii="Calibri" w:hAnsi="Calibri"/>
        </w:rPr>
      </w:pPr>
      <w:r>
        <w:rPr>
          <w:rFonts w:ascii="Calibri" w:hAnsi="Calibri"/>
        </w:rPr>
        <w:t xml:space="preserve">This section presents </w:t>
      </w:r>
    </w:p>
    <w:p w14:paraId="23B5467E" w14:textId="6280A1BF" w:rsidR="00F25BF4" w:rsidRDefault="00786502" w:rsidP="00786502">
      <w:pPr>
        <w:pStyle w:val="BodyText"/>
        <w:numPr>
          <w:ilvl w:val="0"/>
          <w:numId w:val="45"/>
        </w:numPr>
        <w:rPr>
          <w:rFonts w:ascii="Calibri" w:hAnsi="Calibri"/>
        </w:rPr>
      </w:pPr>
      <w:r>
        <w:rPr>
          <w:rFonts w:ascii="Calibri" w:hAnsi="Calibri"/>
        </w:rPr>
        <w:t xml:space="preserve">The </w:t>
      </w:r>
      <w:r w:rsidR="00824127">
        <w:rPr>
          <w:rFonts w:ascii="Calibri" w:hAnsi="Calibri"/>
        </w:rPr>
        <w:t xml:space="preserve">performance for the </w:t>
      </w:r>
      <w:r>
        <w:rPr>
          <w:rFonts w:ascii="Calibri" w:hAnsi="Calibri"/>
        </w:rPr>
        <w:t>Galileo UTC Dissemination Service</w:t>
      </w:r>
    </w:p>
    <w:p w14:paraId="7BCA04AF" w14:textId="1B15BF39" w:rsidR="00786502" w:rsidRPr="007A395D" w:rsidRDefault="00786502" w:rsidP="00786502">
      <w:pPr>
        <w:pStyle w:val="BodyText"/>
        <w:numPr>
          <w:ilvl w:val="0"/>
          <w:numId w:val="45"/>
        </w:numPr>
        <w:rPr>
          <w:rFonts w:ascii="Calibri" w:hAnsi="Calibri"/>
        </w:rPr>
      </w:pPr>
      <w:r>
        <w:rPr>
          <w:rFonts w:ascii="Calibri" w:hAnsi="Calibri"/>
        </w:rPr>
        <w:t>Galileo O</w:t>
      </w:r>
      <w:r w:rsidR="00761875">
        <w:rPr>
          <w:rFonts w:ascii="Calibri" w:hAnsi="Calibri"/>
        </w:rPr>
        <w:t xml:space="preserve">pen </w:t>
      </w:r>
      <w:r>
        <w:rPr>
          <w:rFonts w:ascii="Calibri" w:hAnsi="Calibri"/>
        </w:rPr>
        <w:t>S</w:t>
      </w:r>
      <w:r w:rsidR="00761875">
        <w:rPr>
          <w:rFonts w:ascii="Calibri" w:hAnsi="Calibri"/>
        </w:rPr>
        <w:t>ervice</w:t>
      </w:r>
      <w:r>
        <w:rPr>
          <w:rFonts w:ascii="Calibri" w:hAnsi="Calibri"/>
        </w:rPr>
        <w:t xml:space="preserve"> Authentication Service</w:t>
      </w:r>
    </w:p>
    <w:p w14:paraId="7C5E1800" w14:textId="5442DBBD" w:rsidR="00F25BF4" w:rsidRDefault="00824127" w:rsidP="00605E43">
      <w:pPr>
        <w:pStyle w:val="Heading2"/>
      </w:pPr>
      <w:r>
        <w:t>Galileo UTC Time Dissemination Service</w:t>
      </w:r>
    </w:p>
    <w:p w14:paraId="2DB9741B" w14:textId="46D6CB6B" w:rsidR="00824127" w:rsidRPr="004638C0" w:rsidRDefault="00824127" w:rsidP="00824127">
      <w:pPr>
        <w:pStyle w:val="BodyText"/>
        <w:rPr>
          <w:rFonts w:asciiTheme="minorHAnsi" w:hAnsiTheme="minorHAnsi" w:cstheme="minorHAnsi"/>
        </w:rPr>
      </w:pPr>
      <w:r w:rsidRPr="004638C0">
        <w:rPr>
          <w:rFonts w:asciiTheme="minorHAnsi" w:hAnsiTheme="minorHAnsi" w:cstheme="minorHAnsi"/>
        </w:rPr>
        <w:t>GNSS satellites broadcast additional data which allow GNSS</w:t>
      </w:r>
      <w:r w:rsidR="00664164">
        <w:rPr>
          <w:rFonts w:asciiTheme="minorHAnsi" w:hAnsiTheme="minorHAnsi" w:cstheme="minorHAnsi"/>
        </w:rPr>
        <w:t xml:space="preserve"> </w:t>
      </w:r>
      <w:r w:rsidRPr="004638C0">
        <w:rPr>
          <w:rFonts w:asciiTheme="minorHAnsi" w:hAnsiTheme="minorHAnsi" w:cstheme="minorHAnsi"/>
        </w:rPr>
        <w:t>receivers to relate the GNSS time scale to international reference timescales. The precise atomic clocks in the Galileo</w:t>
      </w:r>
      <w:r w:rsidR="00664164">
        <w:rPr>
          <w:rFonts w:asciiTheme="minorHAnsi" w:hAnsiTheme="minorHAnsi" w:cstheme="minorHAnsi"/>
        </w:rPr>
        <w:t xml:space="preserve"> </w:t>
      </w:r>
      <w:r w:rsidRPr="004638C0">
        <w:rPr>
          <w:rFonts w:asciiTheme="minorHAnsi" w:hAnsiTheme="minorHAnsi" w:cstheme="minorHAnsi"/>
        </w:rPr>
        <w:t>system allow de delivery to users of very accurate timing data.</w:t>
      </w:r>
    </w:p>
    <w:p w14:paraId="23F4BD60" w14:textId="5B3BA9B4" w:rsidR="00824127" w:rsidRDefault="00824127" w:rsidP="00824127">
      <w:pPr>
        <w:pStyle w:val="BodyText"/>
        <w:rPr>
          <w:rFonts w:asciiTheme="minorHAnsi" w:hAnsiTheme="minorHAnsi" w:cstheme="minorHAnsi"/>
        </w:rPr>
      </w:pPr>
      <w:r w:rsidRPr="004638C0">
        <w:rPr>
          <w:rFonts w:asciiTheme="minorHAnsi" w:hAnsiTheme="minorHAnsi" w:cstheme="minorHAnsi"/>
        </w:rPr>
        <w:t>The OS UTC Time Determination Service provides Galileo users</w:t>
      </w:r>
      <w:r w:rsidR="004638C0" w:rsidRPr="004638C0">
        <w:rPr>
          <w:rFonts w:asciiTheme="minorHAnsi" w:hAnsiTheme="minorHAnsi" w:cstheme="minorHAnsi"/>
        </w:rPr>
        <w:t xml:space="preserve"> </w:t>
      </w:r>
      <w:r w:rsidRPr="004638C0">
        <w:rPr>
          <w:rFonts w:asciiTheme="minorHAnsi" w:hAnsiTheme="minorHAnsi" w:cstheme="minorHAnsi"/>
        </w:rPr>
        <w:t>worldwide with direct and accurate access to the Universal</w:t>
      </w:r>
      <w:r w:rsidR="004638C0" w:rsidRPr="004638C0">
        <w:rPr>
          <w:rFonts w:asciiTheme="minorHAnsi" w:hAnsiTheme="minorHAnsi" w:cstheme="minorHAnsi"/>
        </w:rPr>
        <w:t xml:space="preserve"> </w:t>
      </w:r>
      <w:r w:rsidRPr="004638C0">
        <w:rPr>
          <w:rFonts w:asciiTheme="minorHAnsi" w:hAnsiTheme="minorHAnsi" w:cstheme="minorHAnsi"/>
        </w:rPr>
        <w:t>Time Coordinated (UTC) reference. It provides both the</w:t>
      </w:r>
      <w:r w:rsidR="004638C0" w:rsidRPr="004638C0">
        <w:rPr>
          <w:rFonts w:asciiTheme="minorHAnsi" w:hAnsiTheme="minorHAnsi" w:cstheme="minorHAnsi"/>
        </w:rPr>
        <w:t xml:space="preserve"> </w:t>
      </w:r>
      <w:r w:rsidRPr="004638C0">
        <w:rPr>
          <w:rFonts w:asciiTheme="minorHAnsi" w:hAnsiTheme="minorHAnsi" w:cstheme="minorHAnsi"/>
        </w:rPr>
        <w:t>integer offset between the Galileo System Time (GST) and UTC</w:t>
      </w:r>
      <w:r w:rsidR="004638C0" w:rsidRPr="004638C0">
        <w:rPr>
          <w:rFonts w:asciiTheme="minorHAnsi" w:hAnsiTheme="minorHAnsi" w:cstheme="minorHAnsi"/>
        </w:rPr>
        <w:t xml:space="preserve"> </w:t>
      </w:r>
      <w:r w:rsidRPr="004638C0">
        <w:rPr>
          <w:rFonts w:asciiTheme="minorHAnsi" w:hAnsiTheme="minorHAnsi" w:cstheme="minorHAnsi"/>
        </w:rPr>
        <w:t>and the fractional GST-UTC</w:t>
      </w:r>
      <w:r w:rsidR="004638C0" w:rsidRPr="004638C0">
        <w:rPr>
          <w:rFonts w:asciiTheme="minorHAnsi" w:hAnsiTheme="minorHAnsi" w:cstheme="minorHAnsi"/>
        </w:rPr>
        <w:t xml:space="preserve"> </w:t>
      </w:r>
      <w:r w:rsidRPr="004638C0">
        <w:rPr>
          <w:rFonts w:asciiTheme="minorHAnsi" w:hAnsiTheme="minorHAnsi" w:cstheme="minorHAnsi"/>
        </w:rPr>
        <w:t>difference at nanosecond level. This allows users to timestamp their data in UTC or local time and to precisely</w:t>
      </w:r>
      <w:r w:rsidR="004638C0" w:rsidRPr="004638C0">
        <w:rPr>
          <w:rFonts w:asciiTheme="minorHAnsi" w:hAnsiTheme="minorHAnsi" w:cstheme="minorHAnsi"/>
        </w:rPr>
        <w:t xml:space="preserve"> </w:t>
      </w:r>
      <w:r w:rsidRPr="004638C0">
        <w:rPr>
          <w:rFonts w:asciiTheme="minorHAnsi" w:hAnsiTheme="minorHAnsi" w:cstheme="minorHAnsi"/>
        </w:rPr>
        <w:t>synchronise to UTC their clocks, which can be situated at very</w:t>
      </w:r>
      <w:r w:rsidR="004638C0" w:rsidRPr="004638C0">
        <w:rPr>
          <w:rFonts w:asciiTheme="minorHAnsi" w:hAnsiTheme="minorHAnsi" w:cstheme="minorHAnsi"/>
        </w:rPr>
        <w:t xml:space="preserve"> </w:t>
      </w:r>
      <w:r w:rsidRPr="004638C0">
        <w:rPr>
          <w:rFonts w:asciiTheme="minorHAnsi" w:hAnsiTheme="minorHAnsi" w:cstheme="minorHAnsi"/>
        </w:rPr>
        <w:t>different locations in the world.</w:t>
      </w:r>
      <w:r w:rsidR="004638C0">
        <w:rPr>
          <w:rFonts w:asciiTheme="minorHAnsi" w:hAnsiTheme="minorHAnsi" w:cstheme="minorHAnsi"/>
        </w:rPr>
        <w:t xml:space="preserve"> </w:t>
      </w:r>
      <w:r w:rsidR="004638C0">
        <w:rPr>
          <w:rFonts w:asciiTheme="minorHAnsi" w:hAnsiTheme="minorHAnsi" w:cstheme="minorHAnsi"/>
        </w:rPr>
        <w:fldChar w:fldCharType="begin"/>
      </w:r>
      <w:r w:rsidR="004638C0">
        <w:rPr>
          <w:rFonts w:asciiTheme="minorHAnsi" w:hAnsiTheme="minorHAnsi" w:cstheme="minorHAnsi"/>
        </w:rPr>
        <w:instrText xml:space="preserve"> REF _Ref114653848 \r \h </w:instrText>
      </w:r>
      <w:r w:rsidR="004638C0">
        <w:rPr>
          <w:rFonts w:asciiTheme="minorHAnsi" w:hAnsiTheme="minorHAnsi" w:cstheme="minorHAnsi"/>
        </w:rPr>
      </w:r>
      <w:r w:rsidR="004638C0">
        <w:rPr>
          <w:rFonts w:asciiTheme="minorHAnsi" w:hAnsiTheme="minorHAnsi" w:cstheme="minorHAnsi"/>
        </w:rPr>
        <w:fldChar w:fldCharType="separate"/>
      </w:r>
      <w:r w:rsidR="004638C0">
        <w:rPr>
          <w:rFonts w:asciiTheme="minorHAnsi" w:hAnsiTheme="minorHAnsi" w:cstheme="minorHAnsi"/>
        </w:rPr>
        <w:t>[2]</w:t>
      </w:r>
      <w:r w:rsidR="004638C0">
        <w:rPr>
          <w:rFonts w:asciiTheme="minorHAnsi" w:hAnsiTheme="minorHAnsi" w:cstheme="minorHAnsi"/>
        </w:rPr>
        <w:fldChar w:fldCharType="end"/>
      </w:r>
    </w:p>
    <w:p w14:paraId="1AEA48CB" w14:textId="516E72CC" w:rsidR="004638C0" w:rsidRDefault="004638C0" w:rsidP="004638C0">
      <w:pPr>
        <w:pStyle w:val="BodyText"/>
        <w:rPr>
          <w:rFonts w:asciiTheme="minorHAnsi" w:hAnsiTheme="minorHAnsi" w:cstheme="minorHAnsi"/>
        </w:rPr>
      </w:pPr>
      <w:r w:rsidRPr="004638C0">
        <w:rPr>
          <w:rFonts w:asciiTheme="minorHAnsi" w:hAnsiTheme="minorHAnsi" w:cstheme="minorHAnsi"/>
        </w:rPr>
        <w:t>The Galileo OS provides means for users to determine UTC by</w:t>
      </w:r>
      <w:r>
        <w:rPr>
          <w:rFonts w:asciiTheme="minorHAnsi" w:hAnsiTheme="minorHAnsi" w:cstheme="minorHAnsi"/>
        </w:rPr>
        <w:t xml:space="preserve"> </w:t>
      </w:r>
      <w:r w:rsidRPr="004638C0">
        <w:rPr>
          <w:rFonts w:asciiTheme="minorHAnsi" w:hAnsiTheme="minorHAnsi" w:cstheme="minorHAnsi"/>
        </w:rPr>
        <w:t>estimation of the GST-UTC difference using the parameters</w:t>
      </w:r>
      <w:r>
        <w:rPr>
          <w:rFonts w:asciiTheme="minorHAnsi" w:hAnsiTheme="minorHAnsi" w:cstheme="minorHAnsi"/>
        </w:rPr>
        <w:t xml:space="preserve"> </w:t>
      </w:r>
      <w:r w:rsidRPr="004638C0">
        <w:rPr>
          <w:rFonts w:asciiTheme="minorHAnsi" w:hAnsiTheme="minorHAnsi" w:cstheme="minorHAnsi"/>
        </w:rPr>
        <w:t>transmitted in the Galileo OS SIS. The accuracy in the UTC estimation, which is</w:t>
      </w:r>
      <w:r>
        <w:rPr>
          <w:rFonts w:asciiTheme="minorHAnsi" w:hAnsiTheme="minorHAnsi" w:cstheme="minorHAnsi"/>
        </w:rPr>
        <w:t xml:space="preserve"> </w:t>
      </w:r>
      <w:r w:rsidRPr="004638C0">
        <w:rPr>
          <w:rFonts w:asciiTheme="minorHAnsi" w:hAnsiTheme="minorHAnsi" w:cstheme="minorHAnsi"/>
        </w:rPr>
        <w:t xml:space="preserve">called the Galileo </w:t>
      </w:r>
      <w:r w:rsidRPr="004638C0">
        <w:rPr>
          <w:rFonts w:asciiTheme="minorHAnsi" w:hAnsiTheme="minorHAnsi" w:cstheme="minorHAnsi"/>
        </w:rPr>
        <w:lastRenderedPageBreak/>
        <w:t>UTC Time Determination Accuracy, depends</w:t>
      </w:r>
      <w:r>
        <w:rPr>
          <w:rFonts w:asciiTheme="minorHAnsi" w:hAnsiTheme="minorHAnsi" w:cstheme="minorHAnsi"/>
        </w:rPr>
        <w:t xml:space="preserve"> </w:t>
      </w:r>
      <w:r w:rsidRPr="004638C0">
        <w:rPr>
          <w:rFonts w:asciiTheme="minorHAnsi" w:hAnsiTheme="minorHAnsi" w:cstheme="minorHAnsi"/>
        </w:rPr>
        <w:t>therefore on both the instantaneous GST determination error</w:t>
      </w:r>
      <w:r>
        <w:rPr>
          <w:rFonts w:asciiTheme="minorHAnsi" w:hAnsiTheme="minorHAnsi" w:cstheme="minorHAnsi"/>
        </w:rPr>
        <w:t xml:space="preserve"> </w:t>
      </w:r>
      <w:r w:rsidRPr="004638C0">
        <w:rPr>
          <w:rFonts w:asciiTheme="minorHAnsi" w:hAnsiTheme="minorHAnsi" w:cstheme="minorHAnsi"/>
        </w:rPr>
        <w:t>and on the error in the broadcast GST-UTC conversion</w:t>
      </w:r>
      <w:r>
        <w:rPr>
          <w:rFonts w:asciiTheme="minorHAnsi" w:hAnsiTheme="minorHAnsi" w:cstheme="minorHAnsi"/>
        </w:rPr>
        <w:t xml:space="preserve"> </w:t>
      </w:r>
      <w:r w:rsidRPr="004638C0">
        <w:rPr>
          <w:rFonts w:asciiTheme="minorHAnsi" w:hAnsiTheme="minorHAnsi" w:cstheme="minorHAnsi"/>
        </w:rPr>
        <w:t>parameters. This second component is defined as the Galileo</w:t>
      </w:r>
      <w:r>
        <w:rPr>
          <w:rFonts w:asciiTheme="minorHAnsi" w:hAnsiTheme="minorHAnsi" w:cstheme="minorHAnsi"/>
        </w:rPr>
        <w:t xml:space="preserve"> </w:t>
      </w:r>
      <w:r w:rsidRPr="004638C0">
        <w:rPr>
          <w:rFonts w:asciiTheme="minorHAnsi" w:hAnsiTheme="minorHAnsi" w:cstheme="minorHAnsi"/>
        </w:rPr>
        <w:t>SIS UTC Time Dissemination Accuracy.</w:t>
      </w:r>
    </w:p>
    <w:p w14:paraId="1536D3C7" w14:textId="2A19CD2B" w:rsidR="004638C0" w:rsidRDefault="004638C0" w:rsidP="004638C0">
      <w:pPr>
        <w:pStyle w:val="BodyText"/>
        <w:rPr>
          <w:rFonts w:asciiTheme="minorHAnsi" w:hAnsiTheme="minorHAnsi" w:cstheme="minorHAnsi"/>
        </w:rPr>
      </w:pPr>
      <w:r>
        <w:rPr>
          <w:rFonts w:asciiTheme="minorHAnsi" w:hAnsiTheme="minorHAnsi" w:cstheme="minorHAnsi"/>
        </w:rPr>
        <w:t>Galileo Service Definition Document</w:t>
      </w:r>
      <w:r w:rsidR="006C359C">
        <w:rPr>
          <w:rFonts w:asciiTheme="minorHAnsi" w:hAnsiTheme="minorHAnsi" w:cstheme="minorHAnsi"/>
        </w:rPr>
        <w:t xml:space="preserve"> </w:t>
      </w:r>
      <w:r w:rsidR="006C359C">
        <w:rPr>
          <w:rFonts w:asciiTheme="minorHAnsi" w:hAnsiTheme="minorHAnsi" w:cstheme="minorHAnsi"/>
        </w:rPr>
        <w:fldChar w:fldCharType="begin"/>
      </w:r>
      <w:r w:rsidR="006C359C">
        <w:rPr>
          <w:rFonts w:asciiTheme="minorHAnsi" w:hAnsiTheme="minorHAnsi" w:cstheme="minorHAnsi"/>
        </w:rPr>
        <w:instrText xml:space="preserve"> REF _Ref114653848 \r \h </w:instrText>
      </w:r>
      <w:r w:rsidR="006C359C">
        <w:rPr>
          <w:rFonts w:asciiTheme="minorHAnsi" w:hAnsiTheme="minorHAnsi" w:cstheme="minorHAnsi"/>
        </w:rPr>
      </w:r>
      <w:r w:rsidR="006C359C">
        <w:rPr>
          <w:rFonts w:asciiTheme="minorHAnsi" w:hAnsiTheme="minorHAnsi" w:cstheme="minorHAnsi"/>
        </w:rPr>
        <w:fldChar w:fldCharType="separate"/>
      </w:r>
      <w:r w:rsidR="006C359C">
        <w:rPr>
          <w:rFonts w:asciiTheme="minorHAnsi" w:hAnsiTheme="minorHAnsi" w:cstheme="minorHAnsi"/>
        </w:rPr>
        <w:t>[2]</w:t>
      </w:r>
      <w:r w:rsidR="006C359C">
        <w:rPr>
          <w:rFonts w:asciiTheme="minorHAnsi" w:hAnsiTheme="minorHAnsi" w:cstheme="minorHAnsi"/>
        </w:rPr>
        <w:fldChar w:fldCharType="end"/>
      </w:r>
      <w:r>
        <w:rPr>
          <w:rFonts w:asciiTheme="minorHAnsi" w:hAnsiTheme="minorHAnsi" w:cstheme="minorHAnsi"/>
        </w:rPr>
        <w:t xml:space="preserve"> </w:t>
      </w:r>
      <w:r w:rsidR="006C359C">
        <w:rPr>
          <w:rFonts w:asciiTheme="minorHAnsi" w:hAnsiTheme="minorHAnsi" w:cstheme="minorHAnsi"/>
        </w:rPr>
        <w:t>sets</w:t>
      </w:r>
      <w:r>
        <w:rPr>
          <w:rFonts w:asciiTheme="minorHAnsi" w:hAnsiTheme="minorHAnsi" w:cstheme="minorHAnsi"/>
        </w:rPr>
        <w:t xml:space="preserve"> the Minimum Performance </w:t>
      </w:r>
      <w:r w:rsidR="006C359C">
        <w:rPr>
          <w:rFonts w:asciiTheme="minorHAnsi" w:hAnsiTheme="minorHAnsi" w:cstheme="minorHAnsi"/>
        </w:rPr>
        <w:t>L</w:t>
      </w:r>
      <w:r>
        <w:rPr>
          <w:rFonts w:asciiTheme="minorHAnsi" w:hAnsiTheme="minorHAnsi" w:cstheme="minorHAnsi"/>
        </w:rPr>
        <w:t>evel</w:t>
      </w:r>
      <w:r w:rsidR="006C359C">
        <w:rPr>
          <w:rFonts w:asciiTheme="minorHAnsi" w:hAnsiTheme="minorHAnsi" w:cstheme="minorHAnsi"/>
        </w:rPr>
        <w:t xml:space="preserve"> (MPL)</w:t>
      </w:r>
      <w:r>
        <w:rPr>
          <w:rFonts w:asciiTheme="minorHAnsi" w:hAnsiTheme="minorHAnsi" w:cstheme="minorHAnsi"/>
        </w:rPr>
        <w:t xml:space="preserve"> for the Galileo </w:t>
      </w:r>
      <w:r w:rsidR="00EE58BE">
        <w:rPr>
          <w:rFonts w:asciiTheme="minorHAnsi" w:hAnsiTheme="minorHAnsi" w:cstheme="minorHAnsi"/>
        </w:rPr>
        <w:t xml:space="preserve">UTC Time Dissemination Accuracy to less than 30 ns. </w:t>
      </w:r>
    </w:p>
    <w:p w14:paraId="7B789196" w14:textId="5EE0B896" w:rsidR="005C2FCC" w:rsidRPr="007A395D" w:rsidRDefault="005C2FCC" w:rsidP="005C2FCC">
      <w:pPr>
        <w:pStyle w:val="Table"/>
        <w:rPr>
          <w:rFonts w:ascii="Calibri" w:hAnsi="Calibri"/>
        </w:rPr>
      </w:pPr>
      <w:r w:rsidRPr="005C2FCC">
        <w:rPr>
          <w:rFonts w:ascii="Calibri" w:hAnsi="Calibri"/>
        </w:rPr>
        <w:t>Galileo SIS UTC Time Dissemination Accuracy MPL</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6"/>
        <w:gridCol w:w="4812"/>
      </w:tblGrid>
      <w:tr w:rsidR="005C2FCC" w:rsidRPr="007A395D" w14:paraId="46CCA2DD" w14:textId="77777777" w:rsidTr="005C2FCC">
        <w:tc>
          <w:tcPr>
            <w:tcW w:w="2501" w:type="pct"/>
          </w:tcPr>
          <w:p w14:paraId="355F1C7C" w14:textId="77E5AD6B" w:rsidR="005C2FCC" w:rsidRPr="005C2FCC" w:rsidRDefault="005C2FCC" w:rsidP="00F9342A">
            <w:pPr>
              <w:pStyle w:val="BodyText"/>
              <w:jc w:val="center"/>
              <w:rPr>
                <w:rFonts w:ascii="Calibri" w:hAnsi="Calibri"/>
                <w:b/>
              </w:rPr>
            </w:pPr>
            <w:r w:rsidRPr="005C2FCC">
              <w:rPr>
                <w:rFonts w:ascii="Calibri" w:hAnsi="Calibri"/>
                <w:b/>
              </w:rPr>
              <w:t>Minimum Performance Level</w:t>
            </w:r>
          </w:p>
        </w:tc>
        <w:tc>
          <w:tcPr>
            <w:tcW w:w="2499" w:type="pct"/>
          </w:tcPr>
          <w:p w14:paraId="1CD48097" w14:textId="56863230" w:rsidR="005C2FCC" w:rsidRPr="005C2FCC" w:rsidRDefault="005C2FCC" w:rsidP="00F9342A">
            <w:pPr>
              <w:pStyle w:val="BodyText"/>
              <w:jc w:val="center"/>
              <w:rPr>
                <w:rFonts w:ascii="Calibri" w:hAnsi="Calibri"/>
                <w:b/>
              </w:rPr>
            </w:pPr>
            <w:r w:rsidRPr="005C2FCC">
              <w:rPr>
                <w:rFonts w:ascii="Calibri" w:hAnsi="Calibri"/>
                <w:b/>
              </w:rPr>
              <w:t>Conditions and Constraints</w:t>
            </w:r>
          </w:p>
        </w:tc>
      </w:tr>
      <w:tr w:rsidR="005C2FCC" w:rsidRPr="007A395D" w14:paraId="60FBA225" w14:textId="77777777" w:rsidTr="005C2FCC">
        <w:tc>
          <w:tcPr>
            <w:tcW w:w="2501" w:type="pct"/>
          </w:tcPr>
          <w:p w14:paraId="183AD293" w14:textId="77777777" w:rsidR="005C2FCC" w:rsidRPr="005C2FCC" w:rsidRDefault="005C2FCC" w:rsidP="005C2FCC">
            <w:pPr>
              <w:pStyle w:val="BodyText"/>
              <w:rPr>
                <w:rFonts w:ascii="Calibri" w:hAnsi="Calibri"/>
              </w:rPr>
            </w:pPr>
            <w:r w:rsidRPr="005C2FCC">
              <w:rPr>
                <w:rFonts w:ascii="Calibri" w:hAnsi="Calibri"/>
              </w:rPr>
              <w:t xml:space="preserve">For each Single Frequency and Dual Frequency combination: </w:t>
            </w:r>
          </w:p>
          <w:p w14:paraId="3390CC81" w14:textId="23ACFD50" w:rsidR="005C2FCC" w:rsidRPr="007A395D" w:rsidRDefault="005C2FCC" w:rsidP="005C2FCC">
            <w:pPr>
              <w:pStyle w:val="BodyText"/>
              <w:rPr>
                <w:rFonts w:ascii="Calibri" w:hAnsi="Calibri"/>
              </w:rPr>
            </w:pPr>
            <w:r w:rsidRPr="005C2FCC">
              <w:rPr>
                <w:rFonts w:ascii="Calibri" w:hAnsi="Calibri"/>
              </w:rPr>
              <w:t xml:space="preserve"> &lt; </w:t>
            </w:r>
            <w:r w:rsidRPr="005C2FCC">
              <w:rPr>
                <w:rFonts w:ascii="Calibri" w:hAnsi="Calibri"/>
                <w:b/>
              </w:rPr>
              <w:t>30ns</w:t>
            </w:r>
            <w:r w:rsidRPr="005C2FCC">
              <w:rPr>
                <w:rFonts w:ascii="Calibri" w:hAnsi="Calibri"/>
              </w:rPr>
              <w:t xml:space="preserve"> (95%) over all Age Of Data (AOD)</w:t>
            </w:r>
          </w:p>
        </w:tc>
        <w:tc>
          <w:tcPr>
            <w:tcW w:w="2499" w:type="pct"/>
          </w:tcPr>
          <w:p w14:paraId="6143C7DE" w14:textId="77777777" w:rsidR="005C2FCC" w:rsidRPr="005C2FCC" w:rsidRDefault="005C2FCC" w:rsidP="005C2FCC">
            <w:pPr>
              <w:pStyle w:val="BodyText"/>
              <w:rPr>
                <w:rFonts w:ascii="Calibri" w:hAnsi="Calibri"/>
              </w:rPr>
            </w:pPr>
            <w:r w:rsidRPr="005C2FCC">
              <w:rPr>
                <w:rFonts w:ascii="Calibri" w:hAnsi="Calibri"/>
              </w:rPr>
              <w:t xml:space="preserve">• For any healthy OS SIS </w:t>
            </w:r>
          </w:p>
          <w:p w14:paraId="00578511" w14:textId="77777777" w:rsidR="005C2FCC" w:rsidRPr="005C2FCC" w:rsidRDefault="005C2FCC" w:rsidP="005C2FCC">
            <w:pPr>
              <w:pStyle w:val="BodyText"/>
              <w:rPr>
                <w:rFonts w:ascii="Calibri" w:hAnsi="Calibri"/>
              </w:rPr>
            </w:pPr>
            <w:r w:rsidRPr="005C2FCC">
              <w:rPr>
                <w:rFonts w:ascii="Calibri" w:hAnsi="Calibri"/>
              </w:rPr>
              <w:t xml:space="preserve">• At any user location </w:t>
            </w:r>
          </w:p>
          <w:p w14:paraId="3898827E" w14:textId="42A037B5" w:rsidR="005C2FCC" w:rsidRPr="005C2FCC" w:rsidRDefault="005C2FCC" w:rsidP="005C2FCC">
            <w:pPr>
              <w:pStyle w:val="BodyText"/>
              <w:rPr>
                <w:rFonts w:ascii="Calibri" w:hAnsi="Calibri"/>
              </w:rPr>
            </w:pPr>
            <w:r w:rsidRPr="005C2FCC">
              <w:rPr>
                <w:rFonts w:ascii="Calibri" w:hAnsi="Calibri"/>
              </w:rPr>
              <w:t>•</w:t>
            </w:r>
            <w:r>
              <w:rPr>
                <w:rFonts w:ascii="Calibri" w:hAnsi="Calibri"/>
              </w:rPr>
              <w:t xml:space="preserve"> </w:t>
            </w:r>
            <w:r w:rsidRPr="005C2FCC">
              <w:rPr>
                <w:rFonts w:ascii="Calibri" w:hAnsi="Calibri"/>
              </w:rPr>
              <w:t xml:space="preserve">Calculated over a period of 30 days </w:t>
            </w:r>
          </w:p>
          <w:p w14:paraId="550250FF" w14:textId="4DD2E0C9" w:rsidR="005C2FCC" w:rsidRPr="007A395D" w:rsidRDefault="005C2FCC" w:rsidP="005C2FCC">
            <w:pPr>
              <w:pStyle w:val="BodyText"/>
              <w:rPr>
                <w:rFonts w:ascii="Calibri" w:hAnsi="Calibri"/>
              </w:rPr>
            </w:pPr>
            <w:r w:rsidRPr="005C2FCC">
              <w:rPr>
                <w:rFonts w:ascii="Calibri" w:hAnsi="Calibri"/>
              </w:rPr>
              <w:t>• Propagation and user</w:t>
            </w:r>
          </w:p>
        </w:tc>
      </w:tr>
    </w:tbl>
    <w:p w14:paraId="5B29F0D6" w14:textId="73092B77" w:rsidR="004638C0" w:rsidRDefault="004638C0" w:rsidP="004638C0">
      <w:pPr>
        <w:pStyle w:val="BodyText"/>
        <w:rPr>
          <w:rFonts w:asciiTheme="minorHAnsi" w:hAnsiTheme="minorHAnsi" w:cstheme="minorHAnsi"/>
        </w:rPr>
      </w:pPr>
    </w:p>
    <w:p w14:paraId="5A3AAC9D" w14:textId="51BCA3D5" w:rsidR="00783FEA" w:rsidRDefault="00786502" w:rsidP="00786502">
      <w:pPr>
        <w:pStyle w:val="BodyText"/>
        <w:jc w:val="left"/>
        <w:rPr>
          <w:rFonts w:asciiTheme="minorHAnsi" w:hAnsiTheme="minorHAnsi" w:cstheme="minorHAnsi"/>
        </w:rPr>
      </w:pPr>
      <w:r w:rsidRPr="00786502">
        <w:rPr>
          <w:rFonts w:asciiTheme="minorHAnsi" w:hAnsiTheme="minorHAnsi" w:cstheme="minorHAnsi"/>
        </w:rPr>
        <w:t xml:space="preserve">The performance of the Galileo UTC Time Dissemination Accuracy is excellent, down to the level of </w:t>
      </w:r>
      <w:r>
        <w:rPr>
          <w:rFonts w:asciiTheme="minorHAnsi" w:hAnsiTheme="minorHAnsi" w:cstheme="minorHAnsi"/>
        </w:rPr>
        <w:t>6</w:t>
      </w:r>
      <w:r w:rsidRPr="00786502">
        <w:rPr>
          <w:rFonts w:asciiTheme="minorHAnsi" w:hAnsiTheme="minorHAnsi" w:cstheme="minorHAnsi"/>
        </w:rPr>
        <w:t xml:space="preserve"> ns, as it is presented in the Galileo OS Performance Reports</w:t>
      </w:r>
      <w:r>
        <w:rPr>
          <w:rFonts w:asciiTheme="minorHAnsi" w:hAnsiTheme="minorHAnsi" w:cstheme="minorHAnsi"/>
        </w:rPr>
        <w:t xml:space="preserve"> </w:t>
      </w:r>
      <w:r>
        <w:rPr>
          <w:rFonts w:asciiTheme="minorHAnsi" w:hAnsiTheme="minorHAnsi" w:cstheme="minorHAnsi"/>
        </w:rPr>
        <w:fldChar w:fldCharType="begin"/>
      </w:r>
      <w:r>
        <w:rPr>
          <w:rFonts w:asciiTheme="minorHAnsi" w:hAnsiTheme="minorHAnsi" w:cstheme="minorHAnsi"/>
        </w:rPr>
        <w:instrText xml:space="preserve"> REF _Ref114657249 \r \h </w:instrText>
      </w:r>
      <w:r>
        <w:rPr>
          <w:rFonts w:asciiTheme="minorHAnsi" w:hAnsiTheme="minorHAnsi" w:cstheme="minorHAnsi"/>
        </w:rPr>
      </w:r>
      <w:r>
        <w:rPr>
          <w:rFonts w:asciiTheme="minorHAnsi" w:hAnsiTheme="minorHAnsi" w:cstheme="minorHAnsi"/>
        </w:rPr>
        <w:fldChar w:fldCharType="separate"/>
      </w:r>
      <w:r>
        <w:rPr>
          <w:rFonts w:asciiTheme="minorHAnsi" w:hAnsiTheme="minorHAnsi" w:cstheme="minorHAnsi"/>
        </w:rPr>
        <w:t>[3]</w:t>
      </w:r>
      <w:r>
        <w:rPr>
          <w:rFonts w:asciiTheme="minorHAnsi" w:hAnsiTheme="minorHAnsi" w:cstheme="minorHAnsi"/>
        </w:rPr>
        <w:fldChar w:fldCharType="end"/>
      </w:r>
      <w:r>
        <w:rPr>
          <w:rFonts w:asciiTheme="minorHAnsi" w:hAnsiTheme="minorHAnsi" w:cstheme="minorHAnsi"/>
        </w:rPr>
        <w:t xml:space="preserve">. It can be observed that for the whole reporting period, the accuracy has been around 6ns. </w:t>
      </w:r>
      <w:r w:rsidRPr="00664164">
        <w:rPr>
          <w:rFonts w:asciiTheme="minorHAnsi" w:hAnsiTheme="minorHAnsi" w:cstheme="minorHAnsi"/>
          <w:b/>
        </w:rPr>
        <w:t xml:space="preserve">This accuracy </w:t>
      </w:r>
      <w:r w:rsidR="00664164" w:rsidRPr="00664164">
        <w:rPr>
          <w:rFonts w:asciiTheme="minorHAnsi" w:hAnsiTheme="minorHAnsi" w:cstheme="minorHAnsi"/>
          <w:b/>
        </w:rPr>
        <w:t>satisfies requirement for 10ns needed for R-mode.</w:t>
      </w:r>
    </w:p>
    <w:p w14:paraId="138306F3" w14:textId="64311FEC" w:rsidR="00786502" w:rsidRDefault="00786502" w:rsidP="00783FEA">
      <w:pPr>
        <w:pStyle w:val="BodyText"/>
        <w:jc w:val="center"/>
        <w:rPr>
          <w:rFonts w:asciiTheme="minorHAnsi" w:hAnsiTheme="minorHAnsi" w:cstheme="minorHAnsi"/>
        </w:rPr>
      </w:pPr>
      <w:r w:rsidRPr="00786502">
        <w:rPr>
          <w:rFonts w:asciiTheme="minorHAnsi" w:hAnsiTheme="minorHAnsi" w:cstheme="minorHAnsi"/>
          <w:noProof/>
        </w:rPr>
        <w:drawing>
          <wp:inline distT="0" distB="0" distL="0" distR="0" wp14:anchorId="1A29EF5F" wp14:editId="44394ED9">
            <wp:extent cx="4768850" cy="2314402"/>
            <wp:effectExtent l="19050" t="19050" r="12700" b="10160"/>
            <wp:docPr id="9" name="Picture 8">
              <a:extLst xmlns:a="http://schemas.openxmlformats.org/drawingml/2006/main">
                <a:ext uri="{FF2B5EF4-FFF2-40B4-BE49-F238E27FC236}">
                  <a16:creationId xmlns:a16="http://schemas.microsoft.com/office/drawing/2014/main" id="{8602EBC7-D9A3-4F33-B76E-D4AB614640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602EBC7-D9A3-4F33-B76E-D4AB61464003}"/>
                        </a:ext>
                      </a:extLst>
                    </pic:cNvPr>
                    <pic:cNvPicPr>
                      <a:picLocks noChangeAspect="1"/>
                    </pic:cNvPicPr>
                  </pic:nvPicPr>
                  <pic:blipFill rotWithShape="1">
                    <a:blip r:embed="rId11"/>
                    <a:srcRect l="1551" t="6674" r="1396" b="-256"/>
                    <a:stretch/>
                  </pic:blipFill>
                  <pic:spPr bwMode="auto">
                    <a:xfrm>
                      <a:off x="0" y="0"/>
                      <a:ext cx="4781975" cy="2320772"/>
                    </a:xfrm>
                    <a:prstGeom prst="rect">
                      <a:avLst/>
                    </a:prstGeom>
                    <a:ln w="9525" cap="flat" cmpd="sng" algn="ctr">
                      <a:solidFill>
                        <a:srgbClr val="EEECE1">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BA29AF1" w14:textId="4777F3BB" w:rsidR="00786502" w:rsidRDefault="00786502" w:rsidP="00786502">
      <w:pPr>
        <w:pStyle w:val="Caption"/>
        <w:jc w:val="center"/>
      </w:pPr>
      <w:r>
        <w:t xml:space="preserve">Figure </w:t>
      </w:r>
      <w:fldSimple w:instr=" SEQ Figure \* ARABIC ">
        <w:r>
          <w:rPr>
            <w:noProof/>
          </w:rPr>
          <w:t>1</w:t>
        </w:r>
      </w:fldSimple>
      <w:r>
        <w:t>:Galileo UTC Time Dissemination Service Accuracy</w:t>
      </w:r>
    </w:p>
    <w:p w14:paraId="029B4CA4" w14:textId="77777777" w:rsidR="00664164" w:rsidRDefault="00664164" w:rsidP="00664164">
      <w:pPr>
        <w:pStyle w:val="Heading2"/>
      </w:pPr>
      <w:r>
        <w:t>Galileo Open Service Authentication</w:t>
      </w:r>
    </w:p>
    <w:p w14:paraId="7CBBC725" w14:textId="77777777" w:rsidR="004D4339" w:rsidRPr="00956DC8" w:rsidRDefault="004D4339" w:rsidP="0085479A">
      <w:pPr>
        <w:pStyle w:val="BodyText"/>
        <w:rPr>
          <w:rFonts w:asciiTheme="minorHAnsi" w:hAnsiTheme="minorHAnsi" w:cstheme="minorHAnsi"/>
        </w:rPr>
      </w:pPr>
      <w:r w:rsidRPr="00956DC8">
        <w:rPr>
          <w:rFonts w:asciiTheme="minorHAnsi" w:hAnsiTheme="minorHAnsi" w:cstheme="minorHAnsi"/>
        </w:rPr>
        <w:t>Open Service Navigation Message Authentication (OSNMA) is a data authentication function for the Galileo Open Service worldwide users, freely accessible to all. OSNMA provides receivers with the assurance that the received Galileo navigation message is coming from the system itself and has not been modified.</w:t>
      </w:r>
    </w:p>
    <w:p w14:paraId="37AB405B" w14:textId="67D1008E" w:rsidR="00DB39C3" w:rsidRDefault="004D4339" w:rsidP="0085479A">
      <w:pPr>
        <w:pStyle w:val="BodyText"/>
        <w:rPr>
          <w:rFonts w:asciiTheme="minorHAnsi" w:hAnsiTheme="minorHAnsi" w:cstheme="minorHAnsi"/>
        </w:rPr>
      </w:pPr>
      <w:r w:rsidRPr="00956DC8">
        <w:rPr>
          <w:rFonts w:asciiTheme="minorHAnsi" w:hAnsiTheme="minorHAnsi" w:cstheme="minorHAnsi"/>
        </w:rPr>
        <w:t>OSNMA is authenticating data for geolocation information from the Open Service through the Navigation Message (I/NAV) broadcast on the E1-B signal component. This is realised by transmitting authentication-specific data in previously reserved fields of the E1 I/NAV message. By using these previously reserved fields, OSNMA does not introduce any overlay to the system, thus the OS navigation performance remains untouched.</w:t>
      </w:r>
      <w:r w:rsidR="00761875">
        <w:rPr>
          <w:rFonts w:asciiTheme="minorHAnsi" w:hAnsiTheme="minorHAnsi" w:cstheme="minorHAnsi"/>
        </w:rPr>
        <w:fldChar w:fldCharType="begin"/>
      </w:r>
      <w:r w:rsidR="00761875">
        <w:rPr>
          <w:rFonts w:asciiTheme="minorHAnsi" w:hAnsiTheme="minorHAnsi" w:cstheme="minorHAnsi"/>
        </w:rPr>
        <w:instrText xml:space="preserve"> REF _Ref114669231 \r \h </w:instrText>
      </w:r>
      <w:r w:rsidR="00761875">
        <w:rPr>
          <w:rFonts w:asciiTheme="minorHAnsi" w:hAnsiTheme="minorHAnsi" w:cstheme="minorHAnsi"/>
        </w:rPr>
      </w:r>
      <w:r w:rsidR="00761875">
        <w:rPr>
          <w:rFonts w:asciiTheme="minorHAnsi" w:hAnsiTheme="minorHAnsi" w:cstheme="minorHAnsi"/>
        </w:rPr>
        <w:fldChar w:fldCharType="separate"/>
      </w:r>
      <w:r w:rsidR="00761875">
        <w:rPr>
          <w:rFonts w:asciiTheme="minorHAnsi" w:hAnsiTheme="minorHAnsi" w:cstheme="minorHAnsi"/>
        </w:rPr>
        <w:t>[4]</w:t>
      </w:r>
      <w:r w:rsidR="00761875">
        <w:rPr>
          <w:rFonts w:asciiTheme="minorHAnsi" w:hAnsiTheme="minorHAnsi" w:cstheme="minorHAnsi"/>
        </w:rPr>
        <w:fldChar w:fldCharType="end"/>
      </w:r>
    </w:p>
    <w:p w14:paraId="1D083D92" w14:textId="77777777" w:rsidR="00180DDA" w:rsidRPr="007A395D" w:rsidRDefault="00180DDA" w:rsidP="00605E43">
      <w:pPr>
        <w:pStyle w:val="Heading1"/>
      </w:pPr>
      <w:r w:rsidRPr="007A395D">
        <w:t>References</w:t>
      </w:r>
    </w:p>
    <w:p w14:paraId="602EDD48" w14:textId="423ECB72" w:rsidR="00180DDA" w:rsidRPr="007A395D" w:rsidRDefault="00824127" w:rsidP="00180DDA">
      <w:pPr>
        <w:pStyle w:val="References"/>
        <w:rPr>
          <w:rFonts w:ascii="Calibri" w:hAnsi="Calibri"/>
        </w:rPr>
      </w:pPr>
      <w:r>
        <w:rPr>
          <w:rFonts w:ascii="Calibri" w:hAnsi="Calibri"/>
        </w:rPr>
        <w:t>R-Mode Baltic- Baseline and Priorities</w:t>
      </w:r>
      <w:r w:rsidR="00786502">
        <w:rPr>
          <w:rFonts w:ascii="Calibri" w:hAnsi="Calibri"/>
        </w:rPr>
        <w:t xml:space="preserve">: </w:t>
      </w:r>
      <w:r w:rsidR="00786502" w:rsidRPr="00786502">
        <w:rPr>
          <w:rFonts w:ascii="Calibri" w:hAnsi="Calibri"/>
        </w:rPr>
        <w:t>https://www.r-mode-baltic.eu/wp-content/uploads/2020/06/R-Mode-Baltic-Baseline-and-Priorities.pdf</w:t>
      </w:r>
    </w:p>
    <w:p w14:paraId="00EC0BCC" w14:textId="2D4AC735" w:rsidR="00180DDA" w:rsidRDefault="004638C0" w:rsidP="00180DDA">
      <w:pPr>
        <w:pStyle w:val="References"/>
        <w:rPr>
          <w:rFonts w:ascii="Calibri" w:hAnsi="Calibri"/>
          <w:lang w:eastAsia="de-DE"/>
        </w:rPr>
      </w:pPr>
      <w:r>
        <w:rPr>
          <w:rFonts w:ascii="Calibri" w:hAnsi="Calibri"/>
          <w:lang w:eastAsia="de-DE"/>
        </w:rPr>
        <w:t>Galileo Open Service Service Definition Document</w:t>
      </w:r>
      <w:r w:rsidR="00786502">
        <w:rPr>
          <w:rFonts w:ascii="Calibri" w:hAnsi="Calibri"/>
          <w:lang w:eastAsia="de-DE"/>
        </w:rPr>
        <w:t xml:space="preserve">: </w:t>
      </w:r>
      <w:r w:rsidR="00786502" w:rsidRPr="00786502">
        <w:rPr>
          <w:rFonts w:ascii="Calibri" w:hAnsi="Calibri"/>
          <w:lang w:eastAsia="de-DE"/>
        </w:rPr>
        <w:t>https://www.gsc-europa.eu/sites/default/files/sites/all/files/Galileo-OS-SDD_v1.2.pdf</w:t>
      </w:r>
    </w:p>
    <w:p w14:paraId="75FC06EB" w14:textId="160DE3DA" w:rsidR="00786502" w:rsidRDefault="00786502" w:rsidP="00180DDA">
      <w:pPr>
        <w:pStyle w:val="References"/>
        <w:rPr>
          <w:rFonts w:ascii="Calibri" w:hAnsi="Calibri"/>
          <w:lang w:eastAsia="de-DE"/>
        </w:rPr>
      </w:pPr>
      <w:bookmarkStart w:id="0" w:name="_Ref114657249"/>
      <w:r>
        <w:rPr>
          <w:rFonts w:ascii="Calibri" w:hAnsi="Calibri"/>
          <w:lang w:eastAsia="de-DE"/>
        </w:rPr>
        <w:lastRenderedPageBreak/>
        <w:t xml:space="preserve">Galileo Open Service Performance Report; Q1 2022: </w:t>
      </w:r>
      <w:hyperlink r:id="rId12" w:history="1">
        <w:r w:rsidR="00761875" w:rsidRPr="00F7521C">
          <w:rPr>
            <w:rStyle w:val="Hyperlink"/>
            <w:rFonts w:ascii="Calibri" w:hAnsi="Calibri"/>
            <w:lang w:eastAsia="de-DE"/>
          </w:rPr>
          <w:t>https://www.gsc-europa.eu/sites/default/files/Galileo-OS-Quarterly-Performance_Report-Q1-2022.pdf</w:t>
        </w:r>
      </w:hyperlink>
      <w:bookmarkEnd w:id="0"/>
    </w:p>
    <w:p w14:paraId="7C61C1B5" w14:textId="16E1C839" w:rsidR="00761875" w:rsidRPr="007A395D" w:rsidRDefault="00761875" w:rsidP="00180DDA">
      <w:pPr>
        <w:pStyle w:val="References"/>
        <w:rPr>
          <w:rFonts w:ascii="Calibri" w:hAnsi="Calibri"/>
          <w:lang w:eastAsia="de-DE"/>
        </w:rPr>
      </w:pPr>
      <w:bookmarkStart w:id="1" w:name="_Ref114669231"/>
      <w:r>
        <w:rPr>
          <w:rFonts w:ascii="Calibri" w:hAnsi="Calibri"/>
          <w:lang w:eastAsia="de-DE"/>
        </w:rPr>
        <w:t xml:space="preserve">Galileo Open Service Navigation Message Authentication Info Note: </w:t>
      </w:r>
      <w:r w:rsidRPr="00761875">
        <w:rPr>
          <w:rFonts w:ascii="Calibri" w:hAnsi="Calibri"/>
          <w:lang w:eastAsia="de-DE"/>
        </w:rPr>
        <w:t>https://www.gsc-europa.eu/sites/default/files/sites/all/files/Galileo_OSNMA_Info_Note.pdf</w:t>
      </w:r>
      <w:bookmarkEnd w:id="1"/>
    </w:p>
    <w:p w14:paraId="7A8D2F27" w14:textId="77777777" w:rsidR="00A446C9" w:rsidRPr="007A395D" w:rsidRDefault="00A446C9" w:rsidP="00605E43">
      <w:pPr>
        <w:pStyle w:val="Heading1"/>
      </w:pPr>
      <w:r w:rsidRPr="007A395D">
        <w:t>Action requested of the Committee</w:t>
      </w:r>
    </w:p>
    <w:p w14:paraId="60ACBEC9" w14:textId="74763D3E" w:rsidR="004D1D85" w:rsidRPr="005C2FCC" w:rsidRDefault="00AA654F" w:rsidP="004D1D85">
      <w:pPr>
        <w:pStyle w:val="List1"/>
        <w:numPr>
          <w:ilvl w:val="0"/>
          <w:numId w:val="0"/>
        </w:numPr>
        <w:ind w:left="567" w:hanging="567"/>
        <w:rPr>
          <w:rFonts w:ascii="Calibri" w:hAnsi="Calibri"/>
          <w:lang w:val="en-US"/>
        </w:rPr>
      </w:pPr>
      <w:r>
        <w:rPr>
          <w:rFonts w:ascii="Calibri" w:hAnsi="Calibri"/>
        </w:rPr>
        <w:t xml:space="preserve">The committee is invited to consider the information provided within this paper </w:t>
      </w:r>
      <w:r w:rsidR="009B4D48">
        <w:rPr>
          <w:rFonts w:ascii="Calibri" w:hAnsi="Calibri"/>
        </w:rPr>
        <w:t xml:space="preserve">and within the presentation attached </w:t>
      </w:r>
      <w:r>
        <w:rPr>
          <w:rFonts w:ascii="Calibri" w:hAnsi="Calibri"/>
        </w:rPr>
        <w:t>to support the following documentation:</w:t>
      </w:r>
    </w:p>
    <w:p w14:paraId="17E0B0E1" w14:textId="6894CD0B" w:rsidR="00AA654F" w:rsidRDefault="00AA654F" w:rsidP="00AA654F">
      <w:pPr>
        <w:pStyle w:val="BodyText"/>
        <w:numPr>
          <w:ilvl w:val="0"/>
          <w:numId w:val="48"/>
        </w:numPr>
        <w:rPr>
          <w:rFonts w:ascii="Calibri" w:hAnsi="Calibri"/>
        </w:rPr>
      </w:pPr>
      <w:r w:rsidRPr="006629BF">
        <w:rPr>
          <w:rFonts w:ascii="Calibri" w:hAnsi="Calibri"/>
        </w:rPr>
        <w:t>Implementation of R-Mode on MF and VHF frequencies</w:t>
      </w:r>
    </w:p>
    <w:p w14:paraId="21EE7597" w14:textId="77777777" w:rsidR="00AA654F" w:rsidRDefault="00AA654F" w:rsidP="00AA654F">
      <w:pPr>
        <w:pStyle w:val="BodyText"/>
        <w:numPr>
          <w:ilvl w:val="0"/>
          <w:numId w:val="48"/>
        </w:numPr>
        <w:rPr>
          <w:rFonts w:ascii="Calibri" w:hAnsi="Calibri"/>
        </w:rPr>
      </w:pPr>
      <w:r w:rsidRPr="006629BF">
        <w:rPr>
          <w:rFonts w:ascii="Calibri" w:hAnsi="Calibri"/>
        </w:rPr>
        <w:t>IALA_ENG_WG3_Guideline_on_Timing_and_Synchronisation_v0.2</w:t>
      </w:r>
    </w:p>
    <w:p w14:paraId="5E201BEE" w14:textId="77777777" w:rsidR="004D1D85" w:rsidRPr="007A395D" w:rsidRDefault="004D1D85" w:rsidP="004D1D85">
      <w:pPr>
        <w:pStyle w:val="List1"/>
        <w:numPr>
          <w:ilvl w:val="0"/>
          <w:numId w:val="0"/>
        </w:numPr>
        <w:ind w:left="567" w:hanging="567"/>
        <w:rPr>
          <w:rFonts w:ascii="Calibri" w:hAnsi="Calibri"/>
        </w:rPr>
      </w:pPr>
    </w:p>
    <w:p w14:paraId="0AE6A493" w14:textId="017AA6F4" w:rsidR="000005D3" w:rsidRDefault="000005D3" w:rsidP="00761875">
      <w:pPr>
        <w:pStyle w:val="AnnexHeading1"/>
        <w:numPr>
          <w:ilvl w:val="0"/>
          <w:numId w:val="0"/>
        </w:numPr>
        <w:ind w:left="567" w:hanging="567"/>
        <w:rPr>
          <w:rFonts w:ascii="Calibri" w:hAnsi="Calibri"/>
          <w:color w:val="4F81BD" w:themeColor="accent1"/>
        </w:rPr>
      </w:pPr>
      <w:r w:rsidRPr="007A395D">
        <w:rPr>
          <w:rFonts w:ascii="Calibri" w:hAnsi="Calibri"/>
          <w:color w:val="4F81BD" w:themeColor="accent1"/>
        </w:rPr>
        <w:t xml:space="preserve">Annex </w:t>
      </w:r>
    </w:p>
    <w:p w14:paraId="79143C7F" w14:textId="2A677543" w:rsidR="00761875" w:rsidRDefault="00761875" w:rsidP="00761875">
      <w:pPr>
        <w:pStyle w:val="BodyText"/>
      </w:pPr>
      <w:r>
        <w:t>Presentation attached</w:t>
      </w:r>
    </w:p>
    <w:bookmarkStart w:id="2" w:name="_MON_1725442197"/>
    <w:bookmarkEnd w:id="2"/>
    <w:p w14:paraId="5E0A4316" w14:textId="4945581E" w:rsidR="00050F52" w:rsidRPr="00761875" w:rsidRDefault="00050F52" w:rsidP="00761875">
      <w:pPr>
        <w:pStyle w:val="BodyText"/>
      </w:pPr>
      <w:r>
        <w:object w:dxaOrig="1508" w:dyaOrig="984" w14:anchorId="045240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13" o:title=""/>
          </v:shape>
          <o:OLEObject Type="Embed" ProgID="PowerPoint.Show.12" ShapeID="_x0000_i1025" DrawAspect="Icon" ObjectID="_1725795849" r:id="rId14"/>
        </w:object>
      </w:r>
    </w:p>
    <w:p w14:paraId="1FC4E7A9" w14:textId="77777777" w:rsidR="004D1D85" w:rsidRPr="007A395D" w:rsidRDefault="004D1D85" w:rsidP="004D1D85">
      <w:pPr>
        <w:pStyle w:val="BodyText"/>
        <w:rPr>
          <w:rFonts w:ascii="Calibri" w:hAnsi="Calibri"/>
        </w:rPr>
      </w:pPr>
    </w:p>
    <w:p w14:paraId="16AE6650" w14:textId="332B9262" w:rsidR="004D1D85" w:rsidRPr="007A395D" w:rsidRDefault="004D1D85" w:rsidP="009B4D48">
      <w:pPr>
        <w:pStyle w:val="Appendix"/>
        <w:numPr>
          <w:ilvl w:val="0"/>
          <w:numId w:val="0"/>
        </w:numPr>
        <w:rPr>
          <w:rFonts w:ascii="Calibri" w:hAnsi="Calibri"/>
        </w:rPr>
      </w:pPr>
    </w:p>
    <w:sectPr w:rsidR="004D1D85" w:rsidRPr="007A395D" w:rsidSect="00A94FA6">
      <w:headerReference w:type="even" r:id="rId15"/>
      <w:headerReference w:type="default" r:id="rId16"/>
      <w:footerReference w:type="default" r:id="rId17"/>
      <w:headerReference w:type="first" r:id="rId18"/>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587156" w14:textId="77777777" w:rsidR="008201F3" w:rsidRDefault="008201F3" w:rsidP="00362CD9">
      <w:r>
        <w:separator/>
      </w:r>
    </w:p>
  </w:endnote>
  <w:endnote w:type="continuationSeparator" w:id="0">
    <w:p w14:paraId="07045A65" w14:textId="77777777" w:rsidR="008201F3" w:rsidRDefault="008201F3"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Bold">
    <w:altName w:val="Arial"/>
    <w:panose1 w:val="00000000000000000000"/>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0EF88" w14:textId="6EA49EF7" w:rsidR="00362CD9" w:rsidRPr="00036B9E" w:rsidRDefault="00A94FA6">
    <w:pPr>
      <w:pStyle w:val="Footer"/>
      <w:rPr>
        <w:rFonts w:ascii="Calibri" w:hAnsi="Calibri"/>
      </w:rPr>
    </w:pPr>
    <w:r w:rsidRPr="00A94FA6">
      <w:rPr>
        <w:rFonts w:ascii="Calibri" w:hAnsi="Calibri"/>
        <w:sz w:val="20"/>
        <w:szCs w:val="20"/>
      </w:rPr>
      <w:t>Galileo Timing and Galileo Authentication Service</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EE3CC5">
      <w:rPr>
        <w:rFonts w:ascii="Calibri" w:hAnsi="Calibri"/>
        <w:noProof/>
      </w:rPr>
      <w:t>5</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3404D8" w14:textId="77777777" w:rsidR="008201F3" w:rsidRDefault="008201F3" w:rsidP="00362CD9">
      <w:r>
        <w:separator/>
      </w:r>
    </w:p>
  </w:footnote>
  <w:footnote w:type="continuationSeparator" w:id="0">
    <w:p w14:paraId="55277BBF" w14:textId="77777777" w:rsidR="008201F3" w:rsidRDefault="008201F3"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A8989" w14:textId="3F824E7C" w:rsidR="007C346C" w:rsidRDefault="001875B9">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8CA51" w14:textId="06DE82EB" w:rsidR="007C346C" w:rsidRDefault="007A395D" w:rsidP="007A395D">
    <w:pPr>
      <w:pStyle w:val="Header"/>
      <w:jc w:val="right"/>
    </w:pPr>
    <w:r>
      <w:rPr>
        <w:noProof/>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1875B9">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86C0F" w14:textId="7F704D96" w:rsidR="00BC2334" w:rsidRDefault="00BC2334"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1875B9"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2A2184"/>
    <w:multiLevelType w:val="hybridMultilevel"/>
    <w:tmpl w:val="4DDE9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5"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5F04662"/>
    <w:multiLevelType w:val="hybridMultilevel"/>
    <w:tmpl w:val="C12EB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57A362D"/>
    <w:multiLevelType w:val="multilevel"/>
    <w:tmpl w:val="4A9A6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5"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0"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F1A6F48"/>
    <w:multiLevelType w:val="multilevel"/>
    <w:tmpl w:val="B8FE8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5"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16cid:durableId="1688141961">
    <w:abstractNumId w:val="1"/>
  </w:num>
  <w:num w:numId="2" w16cid:durableId="177699242">
    <w:abstractNumId w:val="0"/>
  </w:num>
  <w:num w:numId="3" w16cid:durableId="1074012329">
    <w:abstractNumId w:val="9"/>
  </w:num>
  <w:num w:numId="4" w16cid:durableId="180557589">
    <w:abstractNumId w:val="25"/>
  </w:num>
  <w:num w:numId="5" w16cid:durableId="2109082243">
    <w:abstractNumId w:val="18"/>
  </w:num>
  <w:num w:numId="6" w16cid:durableId="1076123916">
    <w:abstractNumId w:val="5"/>
  </w:num>
  <w:num w:numId="7" w16cid:durableId="309411551">
    <w:abstractNumId w:val="27"/>
  </w:num>
  <w:num w:numId="8" w16cid:durableId="994992712">
    <w:abstractNumId w:val="13"/>
  </w:num>
  <w:num w:numId="9" w16cid:durableId="1346202870">
    <w:abstractNumId w:val="10"/>
  </w:num>
  <w:num w:numId="10" w16cid:durableId="1459955504">
    <w:abstractNumId w:val="20"/>
  </w:num>
  <w:num w:numId="11" w16cid:durableId="1493139452">
    <w:abstractNumId w:val="19"/>
  </w:num>
  <w:num w:numId="12" w16cid:durableId="1767846090">
    <w:abstractNumId w:val="17"/>
  </w:num>
  <w:num w:numId="13" w16cid:durableId="878201384">
    <w:abstractNumId w:val="26"/>
  </w:num>
  <w:num w:numId="14" w16cid:durableId="1906724934">
    <w:abstractNumId w:val="7"/>
  </w:num>
  <w:num w:numId="15" w16cid:durableId="1300459170">
    <w:abstractNumId w:val="28"/>
  </w:num>
  <w:num w:numId="16" w16cid:durableId="1084952763">
    <w:abstractNumId w:val="16"/>
  </w:num>
  <w:num w:numId="17" w16cid:durableId="2015299033">
    <w:abstractNumId w:val="8"/>
  </w:num>
  <w:num w:numId="18" w16cid:durableId="703797397">
    <w:abstractNumId w:val="23"/>
  </w:num>
  <w:num w:numId="19" w16cid:durableId="1109664390">
    <w:abstractNumId w:val="16"/>
  </w:num>
  <w:num w:numId="20" w16cid:durableId="1859851662">
    <w:abstractNumId w:val="16"/>
  </w:num>
  <w:num w:numId="21" w16cid:durableId="1483421981">
    <w:abstractNumId w:val="16"/>
  </w:num>
  <w:num w:numId="22" w16cid:durableId="2066679456">
    <w:abstractNumId w:val="16"/>
  </w:num>
  <w:num w:numId="23" w16cid:durableId="1119379094">
    <w:abstractNumId w:val="24"/>
  </w:num>
  <w:num w:numId="24" w16cid:durableId="398945961">
    <w:abstractNumId w:val="4"/>
  </w:num>
  <w:num w:numId="25" w16cid:durableId="115678467">
    <w:abstractNumId w:val="4"/>
  </w:num>
  <w:num w:numId="26" w16cid:durableId="1892576571">
    <w:abstractNumId w:val="4"/>
  </w:num>
  <w:num w:numId="27" w16cid:durableId="1185480764">
    <w:abstractNumId w:val="11"/>
  </w:num>
  <w:num w:numId="28" w16cid:durableId="492069965">
    <w:abstractNumId w:val="11"/>
  </w:num>
  <w:num w:numId="29" w16cid:durableId="1965041928">
    <w:abstractNumId w:val="11"/>
  </w:num>
  <w:num w:numId="30" w16cid:durableId="1758285068">
    <w:abstractNumId w:val="11"/>
  </w:num>
  <w:num w:numId="31" w16cid:durableId="1984457911">
    <w:abstractNumId w:val="11"/>
  </w:num>
  <w:num w:numId="32" w16cid:durableId="1800297680">
    <w:abstractNumId w:val="11"/>
  </w:num>
  <w:num w:numId="33" w16cid:durableId="319424668">
    <w:abstractNumId w:val="21"/>
  </w:num>
  <w:num w:numId="34" w16cid:durableId="2112777736">
    <w:abstractNumId w:val="21"/>
  </w:num>
  <w:num w:numId="35" w16cid:durableId="164712625">
    <w:abstractNumId w:val="21"/>
  </w:num>
  <w:num w:numId="36" w16cid:durableId="1644043354">
    <w:abstractNumId w:val="14"/>
  </w:num>
  <w:num w:numId="37" w16cid:durableId="51856509">
    <w:abstractNumId w:val="7"/>
  </w:num>
  <w:num w:numId="38" w16cid:durableId="806749400">
    <w:abstractNumId w:val="17"/>
  </w:num>
  <w:num w:numId="39" w16cid:durableId="8448559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31908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19514997">
    <w:abstractNumId w:val="2"/>
  </w:num>
  <w:num w:numId="42" w16cid:durableId="46261965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708870942">
    <w:abstractNumId w:val="2"/>
  </w:num>
  <w:num w:numId="44" w16cid:durableId="1814524160">
    <w:abstractNumId w:val="15"/>
  </w:num>
  <w:num w:numId="45" w16cid:durableId="202639127">
    <w:abstractNumId w:val="3"/>
  </w:num>
  <w:num w:numId="46" w16cid:durableId="380713696">
    <w:abstractNumId w:val="12"/>
  </w:num>
  <w:num w:numId="47" w16cid:durableId="1698238731">
    <w:abstractNumId w:val="22"/>
  </w:num>
  <w:num w:numId="48" w16cid:durableId="2030794860">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isplayBackgroundShape/>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5D3"/>
    <w:rsid w:val="000049D8"/>
    <w:rsid w:val="00026AAB"/>
    <w:rsid w:val="00036A03"/>
    <w:rsid w:val="00036B9E"/>
    <w:rsid w:val="00037DF4"/>
    <w:rsid w:val="0004700E"/>
    <w:rsid w:val="00050F52"/>
    <w:rsid w:val="00070C13"/>
    <w:rsid w:val="000715C9"/>
    <w:rsid w:val="000745EE"/>
    <w:rsid w:val="00084F33"/>
    <w:rsid w:val="00092B63"/>
    <w:rsid w:val="000A77A7"/>
    <w:rsid w:val="000B1707"/>
    <w:rsid w:val="000C1B3E"/>
    <w:rsid w:val="000C349E"/>
    <w:rsid w:val="00110AE7"/>
    <w:rsid w:val="00177F4D"/>
    <w:rsid w:val="00180DDA"/>
    <w:rsid w:val="001875B9"/>
    <w:rsid w:val="001950E2"/>
    <w:rsid w:val="001B2A2D"/>
    <w:rsid w:val="001B737D"/>
    <w:rsid w:val="001C44A3"/>
    <w:rsid w:val="001D74C8"/>
    <w:rsid w:val="001E0E15"/>
    <w:rsid w:val="001F528A"/>
    <w:rsid w:val="001F704E"/>
    <w:rsid w:val="00201722"/>
    <w:rsid w:val="002125B0"/>
    <w:rsid w:val="00243228"/>
    <w:rsid w:val="00251483"/>
    <w:rsid w:val="00255CAA"/>
    <w:rsid w:val="00264305"/>
    <w:rsid w:val="002778E8"/>
    <w:rsid w:val="002A0346"/>
    <w:rsid w:val="002A4487"/>
    <w:rsid w:val="002B49E9"/>
    <w:rsid w:val="002C632E"/>
    <w:rsid w:val="002D3E8B"/>
    <w:rsid w:val="002D4575"/>
    <w:rsid w:val="002D5C0C"/>
    <w:rsid w:val="002E03D1"/>
    <w:rsid w:val="002E6B74"/>
    <w:rsid w:val="002E6FCA"/>
    <w:rsid w:val="00356CD0"/>
    <w:rsid w:val="00362CD9"/>
    <w:rsid w:val="003761CA"/>
    <w:rsid w:val="0038043C"/>
    <w:rsid w:val="00380DAF"/>
    <w:rsid w:val="003972CE"/>
    <w:rsid w:val="003B28F5"/>
    <w:rsid w:val="003B7B7D"/>
    <w:rsid w:val="003C54CB"/>
    <w:rsid w:val="003C7A2A"/>
    <w:rsid w:val="003D2DC1"/>
    <w:rsid w:val="003D69D0"/>
    <w:rsid w:val="003F2918"/>
    <w:rsid w:val="003F430E"/>
    <w:rsid w:val="0041088C"/>
    <w:rsid w:val="00412DD0"/>
    <w:rsid w:val="00420A38"/>
    <w:rsid w:val="00431B19"/>
    <w:rsid w:val="00451752"/>
    <w:rsid w:val="004638C0"/>
    <w:rsid w:val="004661AD"/>
    <w:rsid w:val="004A6C1D"/>
    <w:rsid w:val="004D1D85"/>
    <w:rsid w:val="004D3C3A"/>
    <w:rsid w:val="004D4339"/>
    <w:rsid w:val="004E1CD1"/>
    <w:rsid w:val="004F7EFC"/>
    <w:rsid w:val="005107EB"/>
    <w:rsid w:val="00511277"/>
    <w:rsid w:val="00521345"/>
    <w:rsid w:val="00526DF0"/>
    <w:rsid w:val="00545CC4"/>
    <w:rsid w:val="00551FFF"/>
    <w:rsid w:val="005607A2"/>
    <w:rsid w:val="0057198B"/>
    <w:rsid w:val="00573CFE"/>
    <w:rsid w:val="0057460F"/>
    <w:rsid w:val="005969F2"/>
    <w:rsid w:val="00597FAE"/>
    <w:rsid w:val="005B32A3"/>
    <w:rsid w:val="005B6C9D"/>
    <w:rsid w:val="005C0D44"/>
    <w:rsid w:val="005C2FCC"/>
    <w:rsid w:val="005C566C"/>
    <w:rsid w:val="005C7E69"/>
    <w:rsid w:val="005E262D"/>
    <w:rsid w:val="005F23D3"/>
    <w:rsid w:val="005F7E20"/>
    <w:rsid w:val="00605E43"/>
    <w:rsid w:val="006153BB"/>
    <w:rsid w:val="006629BF"/>
    <w:rsid w:val="00664164"/>
    <w:rsid w:val="006652C3"/>
    <w:rsid w:val="00691FD0"/>
    <w:rsid w:val="00692148"/>
    <w:rsid w:val="006A1A1E"/>
    <w:rsid w:val="006B576E"/>
    <w:rsid w:val="006C359C"/>
    <w:rsid w:val="006C5948"/>
    <w:rsid w:val="006D3734"/>
    <w:rsid w:val="006E290E"/>
    <w:rsid w:val="006F2A74"/>
    <w:rsid w:val="006F41D1"/>
    <w:rsid w:val="007000D4"/>
    <w:rsid w:val="007118F5"/>
    <w:rsid w:val="00712AA4"/>
    <w:rsid w:val="007146C4"/>
    <w:rsid w:val="00721AA1"/>
    <w:rsid w:val="00724B67"/>
    <w:rsid w:val="007547F8"/>
    <w:rsid w:val="00761875"/>
    <w:rsid w:val="00765622"/>
    <w:rsid w:val="00770B6C"/>
    <w:rsid w:val="00783FEA"/>
    <w:rsid w:val="00786502"/>
    <w:rsid w:val="00791A5E"/>
    <w:rsid w:val="007A395D"/>
    <w:rsid w:val="007B6BD5"/>
    <w:rsid w:val="007C346C"/>
    <w:rsid w:val="007E6479"/>
    <w:rsid w:val="007E6723"/>
    <w:rsid w:val="0080294B"/>
    <w:rsid w:val="008201F3"/>
    <w:rsid w:val="00824127"/>
    <w:rsid w:val="0082480E"/>
    <w:rsid w:val="00850293"/>
    <w:rsid w:val="00851373"/>
    <w:rsid w:val="00851BA6"/>
    <w:rsid w:val="0085479A"/>
    <w:rsid w:val="0085654D"/>
    <w:rsid w:val="00861160"/>
    <w:rsid w:val="0086654F"/>
    <w:rsid w:val="008A356F"/>
    <w:rsid w:val="008A4610"/>
    <w:rsid w:val="008A4653"/>
    <w:rsid w:val="008A4717"/>
    <w:rsid w:val="008A50CC"/>
    <w:rsid w:val="008B3040"/>
    <w:rsid w:val="008C574F"/>
    <w:rsid w:val="008D1694"/>
    <w:rsid w:val="008D6C1F"/>
    <w:rsid w:val="008D79CB"/>
    <w:rsid w:val="008F07BC"/>
    <w:rsid w:val="0091760D"/>
    <w:rsid w:val="0092692B"/>
    <w:rsid w:val="00930561"/>
    <w:rsid w:val="00943E9C"/>
    <w:rsid w:val="00953F4D"/>
    <w:rsid w:val="00956DC8"/>
    <w:rsid w:val="00960BB8"/>
    <w:rsid w:val="00964F5C"/>
    <w:rsid w:val="00973B57"/>
    <w:rsid w:val="00975900"/>
    <w:rsid w:val="009831C0"/>
    <w:rsid w:val="0099161D"/>
    <w:rsid w:val="009B4D48"/>
    <w:rsid w:val="00A0389B"/>
    <w:rsid w:val="00A21BE7"/>
    <w:rsid w:val="00A33A3C"/>
    <w:rsid w:val="00A446C9"/>
    <w:rsid w:val="00A635D6"/>
    <w:rsid w:val="00A8553A"/>
    <w:rsid w:val="00A93AED"/>
    <w:rsid w:val="00A94FA6"/>
    <w:rsid w:val="00AA654F"/>
    <w:rsid w:val="00AE1319"/>
    <w:rsid w:val="00AE34BB"/>
    <w:rsid w:val="00B226F2"/>
    <w:rsid w:val="00B274DF"/>
    <w:rsid w:val="00B56BDF"/>
    <w:rsid w:val="00B65812"/>
    <w:rsid w:val="00B766DC"/>
    <w:rsid w:val="00B85CD6"/>
    <w:rsid w:val="00B90A27"/>
    <w:rsid w:val="00B9554D"/>
    <w:rsid w:val="00BA7DF0"/>
    <w:rsid w:val="00BB2B9F"/>
    <w:rsid w:val="00BB7D9E"/>
    <w:rsid w:val="00BC2334"/>
    <w:rsid w:val="00BD3CB8"/>
    <w:rsid w:val="00BD4E6F"/>
    <w:rsid w:val="00BF32F0"/>
    <w:rsid w:val="00BF4DCE"/>
    <w:rsid w:val="00C05CE5"/>
    <w:rsid w:val="00C45953"/>
    <w:rsid w:val="00C6171E"/>
    <w:rsid w:val="00C83411"/>
    <w:rsid w:val="00CA6F2C"/>
    <w:rsid w:val="00CC0F1D"/>
    <w:rsid w:val="00CD6A13"/>
    <w:rsid w:val="00CF1871"/>
    <w:rsid w:val="00D01874"/>
    <w:rsid w:val="00D019CE"/>
    <w:rsid w:val="00D1133E"/>
    <w:rsid w:val="00D17A34"/>
    <w:rsid w:val="00D26628"/>
    <w:rsid w:val="00D332B3"/>
    <w:rsid w:val="00D33A39"/>
    <w:rsid w:val="00D55207"/>
    <w:rsid w:val="00D81801"/>
    <w:rsid w:val="00D92B45"/>
    <w:rsid w:val="00D95962"/>
    <w:rsid w:val="00DB39C3"/>
    <w:rsid w:val="00DC389B"/>
    <w:rsid w:val="00DD203E"/>
    <w:rsid w:val="00DE2FEE"/>
    <w:rsid w:val="00DF1467"/>
    <w:rsid w:val="00E0054A"/>
    <w:rsid w:val="00E00BE9"/>
    <w:rsid w:val="00E22A11"/>
    <w:rsid w:val="00E31E5C"/>
    <w:rsid w:val="00E44DD2"/>
    <w:rsid w:val="00E558C3"/>
    <w:rsid w:val="00E55927"/>
    <w:rsid w:val="00E60540"/>
    <w:rsid w:val="00E77122"/>
    <w:rsid w:val="00E912A6"/>
    <w:rsid w:val="00EA4844"/>
    <w:rsid w:val="00EA4D9C"/>
    <w:rsid w:val="00EA5A97"/>
    <w:rsid w:val="00EB2248"/>
    <w:rsid w:val="00EB75EE"/>
    <w:rsid w:val="00EE3CC5"/>
    <w:rsid w:val="00EE4C1D"/>
    <w:rsid w:val="00EE58BE"/>
    <w:rsid w:val="00EF3685"/>
    <w:rsid w:val="00F04350"/>
    <w:rsid w:val="00F133DB"/>
    <w:rsid w:val="00F159EB"/>
    <w:rsid w:val="00F25BF4"/>
    <w:rsid w:val="00F267DB"/>
    <w:rsid w:val="00F31C65"/>
    <w:rsid w:val="00F46F6F"/>
    <w:rsid w:val="00F60608"/>
    <w:rsid w:val="00F62217"/>
    <w:rsid w:val="00F9342A"/>
    <w:rsid w:val="00FB17A9"/>
    <w:rsid w:val="00FB527C"/>
    <w:rsid w:val="00FB6F75"/>
    <w:rsid w:val="00FB7D03"/>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NormalWeb">
    <w:name w:val="Normal (Web)"/>
    <w:basedOn w:val="Normal"/>
    <w:uiPriority w:val="99"/>
    <w:semiHidden/>
    <w:unhideWhenUsed/>
    <w:rsid w:val="005C2FCC"/>
    <w:pPr>
      <w:spacing w:before="100" w:beforeAutospacing="1" w:after="100" w:afterAutospacing="1"/>
    </w:pPr>
    <w:rPr>
      <w:rFonts w:ascii="Times New Roman" w:eastAsia="Times New Roman" w:hAnsi="Times New Roman" w:cs="Times New Roman"/>
      <w:sz w:val="24"/>
      <w:szCs w:val="24"/>
      <w:lang w:val="en-US" w:eastAsia="en-US"/>
    </w:rPr>
  </w:style>
  <w:style w:type="paragraph" w:styleId="Caption">
    <w:name w:val="caption"/>
    <w:basedOn w:val="Normal"/>
    <w:next w:val="Normal"/>
    <w:uiPriority w:val="35"/>
    <w:unhideWhenUsed/>
    <w:qFormat/>
    <w:rsid w:val="00786502"/>
    <w:pPr>
      <w:spacing w:after="200"/>
    </w:pPr>
    <w:rPr>
      <w:i/>
      <w:iCs/>
      <w:color w:val="1F497D" w:themeColor="text2"/>
      <w:sz w:val="18"/>
      <w:szCs w:val="18"/>
    </w:rPr>
  </w:style>
  <w:style w:type="character" w:styleId="UnresolvedMention">
    <w:name w:val="Unresolved Mention"/>
    <w:basedOn w:val="DefaultParagraphFont"/>
    <w:uiPriority w:val="99"/>
    <w:semiHidden/>
    <w:unhideWhenUsed/>
    <w:rsid w:val="00761875"/>
    <w:rPr>
      <w:color w:val="605E5C"/>
      <w:shd w:val="clear" w:color="auto" w:fill="E1DFDD"/>
    </w:rPr>
  </w:style>
  <w:style w:type="paragraph" w:customStyle="1" w:styleId="rtejustify">
    <w:name w:val="rtejustify"/>
    <w:basedOn w:val="Normal"/>
    <w:rsid w:val="00761875"/>
    <w:pPr>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basedOn w:val="DefaultParagraphFont"/>
    <w:uiPriority w:val="22"/>
    <w:qFormat/>
    <w:rsid w:val="0076187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418699">
      <w:bodyDiv w:val="1"/>
      <w:marLeft w:val="0"/>
      <w:marRight w:val="0"/>
      <w:marTop w:val="0"/>
      <w:marBottom w:val="0"/>
      <w:divBdr>
        <w:top w:val="none" w:sz="0" w:space="0" w:color="auto"/>
        <w:left w:val="none" w:sz="0" w:space="0" w:color="auto"/>
        <w:bottom w:val="none" w:sz="0" w:space="0" w:color="auto"/>
        <w:right w:val="none" w:sz="0" w:space="0" w:color="auto"/>
      </w:divBdr>
    </w:div>
    <w:div w:id="406541850">
      <w:bodyDiv w:val="1"/>
      <w:marLeft w:val="0"/>
      <w:marRight w:val="0"/>
      <w:marTop w:val="0"/>
      <w:marBottom w:val="0"/>
      <w:divBdr>
        <w:top w:val="none" w:sz="0" w:space="0" w:color="auto"/>
        <w:left w:val="none" w:sz="0" w:space="0" w:color="auto"/>
        <w:bottom w:val="none" w:sz="0" w:space="0" w:color="auto"/>
        <w:right w:val="none" w:sz="0" w:space="0" w:color="auto"/>
      </w:divBdr>
    </w:div>
    <w:div w:id="688485049">
      <w:bodyDiv w:val="1"/>
      <w:marLeft w:val="0"/>
      <w:marRight w:val="0"/>
      <w:marTop w:val="0"/>
      <w:marBottom w:val="0"/>
      <w:divBdr>
        <w:top w:val="none" w:sz="0" w:space="0" w:color="auto"/>
        <w:left w:val="none" w:sz="0" w:space="0" w:color="auto"/>
        <w:bottom w:val="none" w:sz="0" w:space="0" w:color="auto"/>
        <w:right w:val="none" w:sz="0" w:space="0" w:color="auto"/>
      </w:divBdr>
    </w:div>
    <w:div w:id="781730645">
      <w:bodyDiv w:val="1"/>
      <w:marLeft w:val="0"/>
      <w:marRight w:val="0"/>
      <w:marTop w:val="0"/>
      <w:marBottom w:val="0"/>
      <w:divBdr>
        <w:top w:val="none" w:sz="0" w:space="0" w:color="auto"/>
        <w:left w:val="none" w:sz="0" w:space="0" w:color="auto"/>
        <w:bottom w:val="none" w:sz="0" w:space="0" w:color="auto"/>
        <w:right w:val="none" w:sz="0" w:space="0" w:color="auto"/>
      </w:divBdr>
    </w:div>
    <w:div w:id="1410882596">
      <w:bodyDiv w:val="1"/>
      <w:marLeft w:val="0"/>
      <w:marRight w:val="0"/>
      <w:marTop w:val="0"/>
      <w:marBottom w:val="0"/>
      <w:divBdr>
        <w:top w:val="none" w:sz="0" w:space="0" w:color="auto"/>
        <w:left w:val="none" w:sz="0" w:space="0" w:color="auto"/>
        <w:bottom w:val="none" w:sz="0" w:space="0" w:color="auto"/>
        <w:right w:val="none" w:sz="0" w:space="0" w:color="auto"/>
      </w:divBdr>
    </w:div>
    <w:div w:id="1550070641">
      <w:bodyDiv w:val="1"/>
      <w:marLeft w:val="0"/>
      <w:marRight w:val="0"/>
      <w:marTop w:val="0"/>
      <w:marBottom w:val="0"/>
      <w:divBdr>
        <w:top w:val="none" w:sz="0" w:space="0" w:color="auto"/>
        <w:left w:val="none" w:sz="0" w:space="0" w:color="auto"/>
        <w:bottom w:val="none" w:sz="0" w:space="0" w:color="auto"/>
        <w:right w:val="none" w:sz="0" w:space="0" w:color="auto"/>
      </w:divBdr>
    </w:div>
    <w:div w:id="1685397916">
      <w:bodyDiv w:val="1"/>
      <w:marLeft w:val="0"/>
      <w:marRight w:val="0"/>
      <w:marTop w:val="0"/>
      <w:marBottom w:val="0"/>
      <w:divBdr>
        <w:top w:val="none" w:sz="0" w:space="0" w:color="auto"/>
        <w:left w:val="none" w:sz="0" w:space="0" w:color="auto"/>
        <w:bottom w:val="none" w:sz="0" w:space="0" w:color="auto"/>
        <w:right w:val="none" w:sz="0" w:space="0" w:color="auto"/>
      </w:divBdr>
    </w:div>
    <w:div w:id="2080394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gsc-europa.eu/sites/default/files/Galileo-OS-Quarterly-Performance_Report-Q1-2022.pdf"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PowerPoint_Presentation.pptx"/></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AE1B861-22BD-4262-BBF6-1BC96C1DD32E}">
  <ds:schemaRefs>
    <ds:schemaRef ds:uri="http://schemas.openxmlformats.org/officeDocument/2006/bibliography"/>
  </ds:schemaRefs>
</ds:datastoreItem>
</file>

<file path=customXml/itemProps2.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4.xml><?xml version="1.0" encoding="utf-8"?>
<ds:datastoreItem xmlns:ds="http://schemas.openxmlformats.org/officeDocument/2006/customXml" ds:itemID="{134E1447-81F0-4C84-A72E-F722765B54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1467</Words>
  <Characters>8363</Characters>
  <Application>Microsoft Office Word</Application>
  <DocSecurity>0</DocSecurity>
  <Lines>69</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9811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Jaime Alvarez</cp:lastModifiedBy>
  <cp:revision>4</cp:revision>
  <dcterms:created xsi:type="dcterms:W3CDTF">2022-09-23T11:02:00Z</dcterms:created>
  <dcterms:modified xsi:type="dcterms:W3CDTF">2022-09-27T12:58:00Z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ies>
</file>